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87" w:rsidRPr="001A0972" w:rsidRDefault="000F3AA3" w:rsidP="00E27369">
      <w:pPr>
        <w:spacing w:before="120" w:after="120"/>
        <w:jc w:val="center"/>
        <w:rPr>
          <w:rFonts w:ascii="Arial" w:hAnsi="Arial" w:cs="Arial"/>
          <w:sz w:val="10"/>
          <w:szCs w:val="10"/>
          <w:lang w:val="it-IT"/>
        </w:rPr>
      </w:pPr>
      <w:r>
        <w:rPr>
          <w:rFonts w:ascii="Arial" w:hAnsi="Arial" w:cs="Arial"/>
          <w:b/>
          <w:bCs/>
          <w:color w:val="1F497D"/>
          <w:sz w:val="32"/>
          <w:szCs w:val="32"/>
          <w:lang w:val="it-IT"/>
        </w:rPr>
        <w:t xml:space="preserve">Tornano </w:t>
      </w:r>
      <w:r w:rsidR="00D73D79" w:rsidRPr="00D73D79">
        <w:rPr>
          <w:rFonts w:ascii="Arial" w:hAnsi="Arial" w:cs="Arial"/>
          <w:b/>
          <w:bCs/>
          <w:color w:val="1F497D"/>
          <w:sz w:val="32"/>
          <w:szCs w:val="32"/>
          <w:lang w:val="it-IT"/>
        </w:rPr>
        <w:t xml:space="preserve">Goodyear “Bentornato inverno” </w:t>
      </w:r>
      <w:r>
        <w:rPr>
          <w:rFonts w:ascii="Arial" w:hAnsi="Arial" w:cs="Arial"/>
          <w:b/>
          <w:bCs/>
          <w:color w:val="1F497D"/>
          <w:sz w:val="32"/>
          <w:szCs w:val="32"/>
          <w:lang w:val="it-IT"/>
        </w:rPr>
        <w:br/>
      </w:r>
      <w:r w:rsidR="00D73D79" w:rsidRPr="00D73D79">
        <w:rPr>
          <w:rFonts w:ascii="Arial" w:hAnsi="Arial" w:cs="Arial"/>
          <w:b/>
          <w:bCs/>
          <w:color w:val="1F497D"/>
          <w:sz w:val="32"/>
          <w:szCs w:val="32"/>
          <w:lang w:val="it-IT"/>
        </w:rPr>
        <w:t xml:space="preserve">e Dunlop "Sfida l’inverno” </w:t>
      </w:r>
      <w:r w:rsidR="00D73D79">
        <w:rPr>
          <w:rFonts w:ascii="Arial" w:hAnsi="Arial" w:cs="Arial"/>
          <w:b/>
          <w:bCs/>
          <w:color w:val="1F497D"/>
          <w:sz w:val="32"/>
          <w:szCs w:val="32"/>
          <w:lang w:val="it-IT"/>
        </w:rPr>
        <w:br/>
      </w:r>
    </w:p>
    <w:p w:rsidR="00E27369" w:rsidRPr="00E27369" w:rsidRDefault="00E27369" w:rsidP="005E01F5">
      <w:pPr>
        <w:spacing w:after="120" w:line="360" w:lineRule="auto"/>
        <w:jc w:val="both"/>
        <w:rPr>
          <w:rFonts w:ascii="Arial" w:hAnsi="Arial" w:cs="Arial"/>
          <w:b/>
          <w:sz w:val="10"/>
          <w:szCs w:val="20"/>
          <w:lang w:val="it-IT"/>
        </w:rPr>
      </w:pPr>
    </w:p>
    <w:p w:rsidR="00CB1CB6" w:rsidRDefault="004E0ACA" w:rsidP="005E01F5">
      <w:pPr>
        <w:spacing w:after="120" w:line="360" w:lineRule="auto"/>
        <w:jc w:val="both"/>
        <w:rPr>
          <w:rFonts w:ascii="Arial" w:hAnsi="Arial" w:cs="Arial"/>
          <w:sz w:val="22"/>
          <w:szCs w:val="20"/>
          <w:lang w:val="it-IT"/>
        </w:rPr>
      </w:pPr>
      <w:r w:rsidRPr="00B817FB">
        <w:rPr>
          <w:rFonts w:ascii="Arial" w:hAnsi="Arial" w:cs="Arial"/>
          <w:b/>
          <w:sz w:val="22"/>
          <w:szCs w:val="20"/>
          <w:lang w:val="it-IT"/>
        </w:rPr>
        <w:t>Assago</w:t>
      </w:r>
      <w:r w:rsidR="00E8364A" w:rsidRPr="00B817FB">
        <w:rPr>
          <w:rFonts w:ascii="Arial" w:hAnsi="Arial" w:cs="Arial"/>
          <w:b/>
          <w:sz w:val="22"/>
          <w:szCs w:val="20"/>
          <w:lang w:val="it-IT"/>
        </w:rPr>
        <w:t xml:space="preserve">, </w:t>
      </w:r>
      <w:r w:rsidR="000C77FE">
        <w:rPr>
          <w:rFonts w:ascii="Arial" w:hAnsi="Arial" w:cs="Arial"/>
          <w:b/>
          <w:sz w:val="22"/>
          <w:szCs w:val="20"/>
          <w:lang w:val="it-IT"/>
        </w:rPr>
        <w:t>ottobre</w:t>
      </w:r>
      <w:r w:rsidR="00BD2351" w:rsidRPr="00B817FB">
        <w:rPr>
          <w:rFonts w:ascii="Arial" w:hAnsi="Arial" w:cs="Arial"/>
          <w:b/>
          <w:sz w:val="22"/>
          <w:szCs w:val="20"/>
          <w:lang w:val="it-IT"/>
        </w:rPr>
        <w:t xml:space="preserve"> </w:t>
      </w:r>
      <w:r w:rsidR="00E8364A" w:rsidRPr="00B817FB">
        <w:rPr>
          <w:rFonts w:ascii="Arial" w:hAnsi="Arial" w:cs="Arial"/>
          <w:b/>
          <w:sz w:val="22"/>
          <w:szCs w:val="20"/>
          <w:lang w:val="it-IT"/>
        </w:rPr>
        <w:t>201</w:t>
      </w:r>
      <w:r w:rsidR="00D96534">
        <w:rPr>
          <w:rFonts w:ascii="Arial" w:hAnsi="Arial" w:cs="Arial"/>
          <w:b/>
          <w:sz w:val="22"/>
          <w:szCs w:val="20"/>
          <w:lang w:val="it-IT"/>
        </w:rPr>
        <w:t>7</w:t>
      </w:r>
      <w:r w:rsidR="00E8364A" w:rsidRPr="00421A38">
        <w:rPr>
          <w:rFonts w:ascii="Arial" w:hAnsi="Arial" w:cs="Arial"/>
          <w:sz w:val="22"/>
          <w:szCs w:val="20"/>
          <w:lang w:val="it-IT"/>
        </w:rPr>
        <w:t xml:space="preserve"> – </w:t>
      </w:r>
      <w:r w:rsidR="00CB1CB6">
        <w:rPr>
          <w:rFonts w:ascii="Arial" w:hAnsi="Arial" w:cs="Arial"/>
          <w:sz w:val="22"/>
          <w:szCs w:val="20"/>
          <w:lang w:val="it-IT"/>
        </w:rPr>
        <w:t xml:space="preserve">Anche quest’anno, </w:t>
      </w:r>
      <w:r w:rsidR="0075105D">
        <w:rPr>
          <w:rFonts w:ascii="Arial" w:hAnsi="Arial" w:cs="Arial"/>
          <w:sz w:val="22"/>
          <w:szCs w:val="20"/>
          <w:lang w:val="it-IT"/>
        </w:rPr>
        <w:t>a partire dal 16</w:t>
      </w:r>
      <w:r w:rsidR="00A845D4">
        <w:rPr>
          <w:rFonts w:ascii="Arial" w:hAnsi="Arial" w:cs="Arial"/>
          <w:sz w:val="22"/>
          <w:szCs w:val="20"/>
          <w:lang w:val="it-IT"/>
        </w:rPr>
        <w:t xml:space="preserve"> ottobre</w:t>
      </w:r>
      <w:r w:rsidR="009F58C2" w:rsidRPr="00421A38">
        <w:rPr>
          <w:rFonts w:ascii="Arial" w:hAnsi="Arial" w:cs="Arial"/>
          <w:sz w:val="22"/>
          <w:szCs w:val="20"/>
          <w:lang w:val="it-IT"/>
        </w:rPr>
        <w:t xml:space="preserve">, </w:t>
      </w:r>
      <w:r w:rsidR="00756F91">
        <w:rPr>
          <w:rFonts w:ascii="Arial" w:hAnsi="Arial" w:cs="Arial"/>
          <w:sz w:val="22"/>
          <w:szCs w:val="20"/>
          <w:lang w:val="it-IT"/>
        </w:rPr>
        <w:t xml:space="preserve">Goodyear </w:t>
      </w:r>
      <w:r w:rsidR="000F3AA3">
        <w:rPr>
          <w:rFonts w:ascii="Arial" w:hAnsi="Arial" w:cs="Arial"/>
          <w:sz w:val="22"/>
          <w:szCs w:val="20"/>
          <w:lang w:val="it-IT"/>
        </w:rPr>
        <w:t xml:space="preserve">presenta la campagna a supporto del sell-out, volta a promuovere </w:t>
      </w:r>
      <w:r w:rsidR="0075105D">
        <w:rPr>
          <w:rFonts w:ascii="Arial" w:hAnsi="Arial" w:cs="Arial"/>
          <w:sz w:val="22"/>
          <w:szCs w:val="20"/>
          <w:lang w:val="it-IT"/>
        </w:rPr>
        <w:t>l’importanza</w:t>
      </w:r>
      <w:r w:rsidR="00A845D4">
        <w:rPr>
          <w:rFonts w:ascii="Arial" w:hAnsi="Arial" w:cs="Arial"/>
          <w:sz w:val="22"/>
          <w:szCs w:val="20"/>
          <w:lang w:val="it-IT"/>
        </w:rPr>
        <w:t xml:space="preserve"> di sostituire per tempo i pneumatici estivi con gli invernali</w:t>
      </w:r>
      <w:r w:rsidR="00CB1CB6">
        <w:rPr>
          <w:rFonts w:ascii="Arial" w:hAnsi="Arial" w:cs="Arial"/>
          <w:sz w:val="22"/>
          <w:szCs w:val="20"/>
          <w:lang w:val="it-IT"/>
        </w:rPr>
        <w:t xml:space="preserve"> </w:t>
      </w:r>
      <w:r w:rsidR="000F3AA3">
        <w:rPr>
          <w:rFonts w:ascii="Arial" w:hAnsi="Arial" w:cs="Arial"/>
          <w:sz w:val="22"/>
          <w:szCs w:val="20"/>
          <w:lang w:val="it-IT"/>
        </w:rPr>
        <w:t xml:space="preserve">- o gli </w:t>
      </w:r>
      <w:proofErr w:type="spellStart"/>
      <w:r w:rsidR="000F3AA3">
        <w:rPr>
          <w:rFonts w:ascii="Arial" w:hAnsi="Arial" w:cs="Arial"/>
          <w:sz w:val="22"/>
          <w:szCs w:val="20"/>
          <w:lang w:val="it-IT"/>
        </w:rPr>
        <w:t>AllSeason</w:t>
      </w:r>
      <w:proofErr w:type="spellEnd"/>
      <w:r w:rsidR="000F3AA3">
        <w:rPr>
          <w:rFonts w:ascii="Arial" w:hAnsi="Arial" w:cs="Arial"/>
          <w:sz w:val="22"/>
          <w:szCs w:val="20"/>
          <w:lang w:val="it-IT"/>
        </w:rPr>
        <w:t xml:space="preserve">, qualora si decida di adottare questa soluzione - </w:t>
      </w:r>
      <w:r w:rsidR="00CB1CB6">
        <w:rPr>
          <w:rFonts w:ascii="Arial" w:hAnsi="Arial" w:cs="Arial"/>
          <w:sz w:val="22"/>
          <w:szCs w:val="20"/>
          <w:lang w:val="it-IT"/>
        </w:rPr>
        <w:t xml:space="preserve">e di non aspettare </w:t>
      </w:r>
      <w:r w:rsidR="000F3AA3">
        <w:rPr>
          <w:rFonts w:ascii="Arial" w:hAnsi="Arial" w:cs="Arial"/>
          <w:sz w:val="22"/>
          <w:szCs w:val="20"/>
          <w:lang w:val="it-IT"/>
        </w:rPr>
        <w:t xml:space="preserve">il primo acquazzone o </w:t>
      </w:r>
      <w:r w:rsidR="00CB1CB6">
        <w:rPr>
          <w:rFonts w:ascii="Arial" w:hAnsi="Arial" w:cs="Arial"/>
          <w:sz w:val="22"/>
          <w:szCs w:val="20"/>
          <w:lang w:val="it-IT"/>
        </w:rPr>
        <w:t>la prima nevicata per porsi il problema (</w:t>
      </w:r>
      <w:r w:rsidR="000F3AA3">
        <w:rPr>
          <w:rFonts w:ascii="Arial" w:hAnsi="Arial" w:cs="Arial"/>
          <w:sz w:val="22"/>
          <w:szCs w:val="20"/>
          <w:lang w:val="it-IT"/>
        </w:rPr>
        <w:t>incappando</w:t>
      </w:r>
      <w:r w:rsidR="00CB1CB6">
        <w:rPr>
          <w:rFonts w:ascii="Arial" w:hAnsi="Arial" w:cs="Arial"/>
          <w:sz w:val="22"/>
          <w:szCs w:val="20"/>
          <w:lang w:val="it-IT"/>
        </w:rPr>
        <w:t xml:space="preserve"> anche nel rischio di contravvenzioni)</w:t>
      </w:r>
      <w:r w:rsidR="00A845D4">
        <w:rPr>
          <w:rFonts w:ascii="Arial" w:hAnsi="Arial" w:cs="Arial"/>
          <w:sz w:val="22"/>
          <w:szCs w:val="20"/>
          <w:lang w:val="it-IT"/>
        </w:rPr>
        <w:t xml:space="preserve">. </w:t>
      </w:r>
    </w:p>
    <w:p w:rsidR="00BE3683" w:rsidRPr="00421A38" w:rsidRDefault="000F3AA3" w:rsidP="005E01F5">
      <w:pPr>
        <w:spacing w:after="120" w:line="360" w:lineRule="auto"/>
        <w:jc w:val="both"/>
        <w:rPr>
          <w:rFonts w:ascii="Arial" w:hAnsi="Arial" w:cs="Arial"/>
          <w:sz w:val="22"/>
          <w:szCs w:val="20"/>
          <w:lang w:val="it-IT"/>
        </w:rPr>
      </w:pPr>
      <w:r w:rsidRPr="00421A38">
        <w:rPr>
          <w:rFonts w:ascii="Arial" w:hAnsi="Arial" w:cs="Arial"/>
          <w:sz w:val="22"/>
          <w:szCs w:val="20"/>
          <w:lang w:val="it-IT"/>
        </w:rPr>
        <w:t xml:space="preserve">Goodyear Dunlop </w:t>
      </w:r>
      <w:r>
        <w:rPr>
          <w:rFonts w:ascii="Arial" w:hAnsi="Arial" w:cs="Arial"/>
          <w:sz w:val="22"/>
          <w:szCs w:val="20"/>
          <w:lang w:val="it-IT"/>
        </w:rPr>
        <w:t xml:space="preserve">Italia </w:t>
      </w:r>
      <w:r w:rsidRPr="00421A38">
        <w:rPr>
          <w:rFonts w:ascii="Arial" w:hAnsi="Arial" w:cs="Arial"/>
          <w:sz w:val="22"/>
          <w:szCs w:val="20"/>
          <w:lang w:val="it-IT"/>
        </w:rPr>
        <w:t xml:space="preserve">continua </w:t>
      </w:r>
      <w:r>
        <w:rPr>
          <w:rFonts w:ascii="Arial" w:hAnsi="Arial" w:cs="Arial"/>
          <w:sz w:val="22"/>
          <w:szCs w:val="20"/>
          <w:lang w:val="it-IT"/>
        </w:rPr>
        <w:t xml:space="preserve">quindi </w:t>
      </w:r>
      <w:r w:rsidRPr="00421A38">
        <w:rPr>
          <w:rFonts w:ascii="Arial" w:hAnsi="Arial" w:cs="Arial"/>
          <w:sz w:val="22"/>
          <w:szCs w:val="20"/>
          <w:lang w:val="it-IT"/>
        </w:rPr>
        <w:t xml:space="preserve">ad affiancare i suoi rivenditori </w:t>
      </w:r>
      <w:r>
        <w:rPr>
          <w:rFonts w:ascii="Arial" w:hAnsi="Arial" w:cs="Arial"/>
          <w:sz w:val="22"/>
          <w:szCs w:val="20"/>
          <w:lang w:val="it-IT"/>
        </w:rPr>
        <w:t>per</w:t>
      </w:r>
      <w:r w:rsidRPr="00421A38">
        <w:rPr>
          <w:rFonts w:ascii="Arial" w:hAnsi="Arial" w:cs="Arial"/>
          <w:sz w:val="22"/>
          <w:szCs w:val="20"/>
          <w:lang w:val="it-IT"/>
        </w:rPr>
        <w:t xml:space="preserve"> supportar</w:t>
      </w:r>
      <w:r>
        <w:rPr>
          <w:rFonts w:ascii="Arial" w:hAnsi="Arial" w:cs="Arial"/>
          <w:sz w:val="22"/>
          <w:szCs w:val="20"/>
          <w:lang w:val="it-IT"/>
        </w:rPr>
        <w:t>e</w:t>
      </w:r>
      <w:r w:rsidRPr="00421A38">
        <w:rPr>
          <w:rFonts w:ascii="Arial" w:hAnsi="Arial" w:cs="Arial"/>
          <w:sz w:val="22"/>
          <w:szCs w:val="20"/>
          <w:lang w:val="it-IT"/>
        </w:rPr>
        <w:t xml:space="preserve"> </w:t>
      </w:r>
      <w:r>
        <w:rPr>
          <w:rFonts w:ascii="Arial" w:hAnsi="Arial" w:cs="Arial"/>
          <w:sz w:val="22"/>
          <w:szCs w:val="20"/>
          <w:lang w:val="it-IT"/>
        </w:rPr>
        <w:t xml:space="preserve">il loro business, </w:t>
      </w:r>
      <w:r w:rsidRPr="00421A38">
        <w:rPr>
          <w:rFonts w:ascii="Arial" w:hAnsi="Arial" w:cs="Arial"/>
          <w:sz w:val="22"/>
          <w:szCs w:val="20"/>
          <w:lang w:val="it-IT"/>
        </w:rPr>
        <w:t>aiutandoli a</w:t>
      </w:r>
      <w:r>
        <w:rPr>
          <w:rFonts w:ascii="Arial" w:hAnsi="Arial" w:cs="Arial"/>
          <w:sz w:val="22"/>
          <w:szCs w:val="20"/>
          <w:lang w:val="it-IT"/>
        </w:rPr>
        <w:t>d attrarre</w:t>
      </w:r>
      <w:r w:rsidRPr="00421A38">
        <w:rPr>
          <w:rFonts w:ascii="Arial" w:hAnsi="Arial" w:cs="Arial"/>
          <w:sz w:val="22"/>
          <w:szCs w:val="20"/>
          <w:lang w:val="it-IT"/>
        </w:rPr>
        <w:t xml:space="preserve"> il cliente finale e incrementare così il loro giro d’affari</w:t>
      </w:r>
      <w:r>
        <w:rPr>
          <w:rFonts w:ascii="Arial" w:hAnsi="Arial" w:cs="Arial"/>
          <w:sz w:val="22"/>
          <w:szCs w:val="20"/>
          <w:lang w:val="it-IT"/>
        </w:rPr>
        <w:t xml:space="preserve"> nei mesi più “caldi” dell’anno.</w:t>
      </w:r>
      <w:r w:rsidRPr="00421A38">
        <w:rPr>
          <w:rFonts w:ascii="Arial" w:hAnsi="Arial" w:cs="Arial"/>
          <w:sz w:val="22"/>
          <w:szCs w:val="20"/>
          <w:lang w:val="it-IT"/>
        </w:rPr>
        <w:t xml:space="preserve"> </w:t>
      </w:r>
      <w:r>
        <w:rPr>
          <w:rFonts w:ascii="Arial" w:hAnsi="Arial" w:cs="Arial"/>
          <w:sz w:val="22"/>
          <w:szCs w:val="20"/>
          <w:lang w:val="it-IT"/>
        </w:rPr>
        <w:t>Questa campagna si propone infatti l’obiettivo di</w:t>
      </w:r>
      <w:r w:rsidR="00A845D4">
        <w:rPr>
          <w:rFonts w:ascii="Arial" w:hAnsi="Arial" w:cs="Arial"/>
          <w:sz w:val="22"/>
          <w:szCs w:val="20"/>
          <w:lang w:val="it-IT"/>
        </w:rPr>
        <w:t xml:space="preserve"> ottimizzare il flusso di clienti presso il rivenditore</w:t>
      </w:r>
      <w:r w:rsidR="00CB1CB6">
        <w:rPr>
          <w:rFonts w:ascii="Arial" w:hAnsi="Arial" w:cs="Arial"/>
          <w:sz w:val="22"/>
          <w:szCs w:val="20"/>
          <w:lang w:val="it-IT"/>
        </w:rPr>
        <w:t xml:space="preserve">, spingendo gli automobilisti a pianificare il cambio gomme nel periodo previsto dalla legge. </w:t>
      </w:r>
    </w:p>
    <w:p w:rsidR="00CB1CB6" w:rsidRDefault="000F3AA3" w:rsidP="005E01F5">
      <w:pPr>
        <w:spacing w:after="120" w:line="360" w:lineRule="auto"/>
        <w:jc w:val="both"/>
        <w:rPr>
          <w:rFonts w:ascii="Arial" w:hAnsi="Arial" w:cs="Arial"/>
          <w:sz w:val="22"/>
          <w:szCs w:val="20"/>
          <w:lang w:val="it-IT"/>
        </w:rPr>
      </w:pPr>
      <w:r>
        <w:rPr>
          <w:rFonts w:ascii="Arial" w:hAnsi="Arial" w:cs="Arial"/>
          <w:sz w:val="22"/>
          <w:szCs w:val="20"/>
          <w:lang w:val="it-IT"/>
        </w:rPr>
        <w:t>Il programma</w:t>
      </w:r>
      <w:r w:rsidR="00CB1CB6">
        <w:rPr>
          <w:rFonts w:ascii="Arial" w:hAnsi="Arial" w:cs="Arial"/>
          <w:sz w:val="22"/>
          <w:szCs w:val="20"/>
          <w:lang w:val="it-IT"/>
        </w:rPr>
        <w:t xml:space="preserve"> riguarda i marchi premium Goodyear e Dunlop</w:t>
      </w:r>
      <w:r>
        <w:rPr>
          <w:rFonts w:ascii="Arial" w:hAnsi="Arial" w:cs="Arial"/>
          <w:sz w:val="22"/>
          <w:szCs w:val="20"/>
          <w:lang w:val="it-IT"/>
        </w:rPr>
        <w:t xml:space="preserve">, che </w:t>
      </w:r>
      <w:r w:rsidR="00CB1CB6">
        <w:rPr>
          <w:rFonts w:ascii="Arial" w:hAnsi="Arial" w:cs="Arial"/>
          <w:sz w:val="22"/>
          <w:szCs w:val="20"/>
          <w:lang w:val="it-IT"/>
        </w:rPr>
        <w:t xml:space="preserve">i </w:t>
      </w:r>
      <w:r w:rsidR="00CB1CB6" w:rsidRPr="00633BB3">
        <w:rPr>
          <w:rFonts w:ascii="Arial" w:hAnsi="Arial" w:cs="Arial"/>
          <w:sz w:val="22"/>
          <w:szCs w:val="20"/>
          <w:lang w:val="it-IT"/>
        </w:rPr>
        <w:t xml:space="preserve">rivenditori aderenti </w:t>
      </w:r>
      <w:r>
        <w:rPr>
          <w:rFonts w:ascii="Arial" w:hAnsi="Arial" w:cs="Arial"/>
          <w:sz w:val="22"/>
          <w:szCs w:val="20"/>
          <w:lang w:val="it-IT"/>
        </w:rPr>
        <w:t>potranno</w:t>
      </w:r>
      <w:r w:rsidR="00CB1CB6" w:rsidRPr="00633BB3">
        <w:rPr>
          <w:rFonts w:ascii="Arial" w:hAnsi="Arial" w:cs="Arial"/>
          <w:b/>
          <w:sz w:val="22"/>
          <w:szCs w:val="20"/>
          <w:lang w:val="it-IT"/>
        </w:rPr>
        <w:t xml:space="preserve"> offrire agli automobilisti</w:t>
      </w:r>
      <w:r>
        <w:rPr>
          <w:rFonts w:ascii="Arial" w:hAnsi="Arial" w:cs="Arial"/>
          <w:b/>
          <w:sz w:val="22"/>
          <w:szCs w:val="20"/>
          <w:lang w:val="it-IT"/>
        </w:rPr>
        <w:t xml:space="preserve"> con</w:t>
      </w:r>
      <w:r w:rsidR="00CB1CB6" w:rsidRPr="00633BB3">
        <w:rPr>
          <w:rFonts w:ascii="Arial" w:hAnsi="Arial" w:cs="Arial"/>
          <w:b/>
          <w:sz w:val="22"/>
          <w:szCs w:val="20"/>
          <w:lang w:val="it-IT"/>
        </w:rPr>
        <w:t xml:space="preserve"> uno sconto fino a 100 euro</w:t>
      </w:r>
      <w:r w:rsidR="00C858A6">
        <w:rPr>
          <w:rStyle w:val="Rimandonotaapidipagina"/>
          <w:rFonts w:ascii="Arial" w:hAnsi="Arial" w:cs="Arial"/>
          <w:b/>
          <w:sz w:val="22"/>
          <w:szCs w:val="20"/>
          <w:lang w:val="it-IT"/>
        </w:rPr>
        <w:footnoteReference w:id="1"/>
      </w:r>
      <w:r>
        <w:rPr>
          <w:rFonts w:ascii="Arial" w:hAnsi="Arial" w:cs="Arial"/>
          <w:b/>
          <w:sz w:val="22"/>
          <w:szCs w:val="20"/>
          <w:lang w:val="it-IT"/>
        </w:rPr>
        <w:t xml:space="preserve">, all’acquisto di 4 pneumatici invernali, estivi o </w:t>
      </w:r>
      <w:proofErr w:type="spellStart"/>
      <w:r>
        <w:rPr>
          <w:rFonts w:ascii="Arial" w:hAnsi="Arial" w:cs="Arial"/>
          <w:b/>
          <w:sz w:val="22"/>
          <w:szCs w:val="20"/>
          <w:lang w:val="it-IT"/>
        </w:rPr>
        <w:t>AllSeason</w:t>
      </w:r>
      <w:proofErr w:type="spellEnd"/>
      <w:r w:rsidR="00CB1CB6">
        <w:rPr>
          <w:rFonts w:ascii="Arial" w:hAnsi="Arial" w:cs="Arial"/>
          <w:sz w:val="22"/>
          <w:szCs w:val="20"/>
          <w:lang w:val="it-IT"/>
        </w:rPr>
        <w:t xml:space="preserve">. </w:t>
      </w:r>
    </w:p>
    <w:p w:rsidR="008C40FF" w:rsidRDefault="000F3AA3" w:rsidP="005E01F5">
      <w:pPr>
        <w:spacing w:after="120" w:line="360" w:lineRule="auto"/>
        <w:jc w:val="both"/>
        <w:rPr>
          <w:rFonts w:ascii="Arial" w:hAnsi="Arial" w:cs="Arial"/>
          <w:sz w:val="22"/>
          <w:szCs w:val="20"/>
          <w:lang w:val="it-IT"/>
        </w:rPr>
      </w:pPr>
      <w:r>
        <w:rPr>
          <w:rFonts w:ascii="Arial" w:hAnsi="Arial" w:cs="Arial"/>
          <w:sz w:val="22"/>
          <w:szCs w:val="20"/>
          <w:lang w:val="it-IT"/>
        </w:rPr>
        <w:t xml:space="preserve">L’inclusione, anche quest’anno, dei pneumatici estivi e </w:t>
      </w:r>
      <w:proofErr w:type="spellStart"/>
      <w:r>
        <w:rPr>
          <w:rFonts w:ascii="Arial" w:hAnsi="Arial" w:cs="Arial"/>
          <w:sz w:val="22"/>
          <w:szCs w:val="20"/>
          <w:lang w:val="it-IT"/>
        </w:rPr>
        <w:t>AllSeason</w:t>
      </w:r>
      <w:proofErr w:type="spellEnd"/>
      <w:r>
        <w:rPr>
          <w:rFonts w:ascii="Arial" w:hAnsi="Arial" w:cs="Arial"/>
          <w:sz w:val="22"/>
          <w:szCs w:val="20"/>
          <w:lang w:val="it-IT"/>
        </w:rPr>
        <w:t xml:space="preserve"> rappresenta un’ulteriore conferma</w:t>
      </w:r>
      <w:r w:rsidR="00C86289" w:rsidRPr="00421A38">
        <w:rPr>
          <w:rFonts w:ascii="Arial" w:hAnsi="Arial" w:cs="Arial"/>
          <w:sz w:val="22"/>
          <w:szCs w:val="20"/>
          <w:lang w:val="it-IT"/>
        </w:rPr>
        <w:t xml:space="preserve"> </w:t>
      </w:r>
      <w:r>
        <w:rPr>
          <w:rFonts w:ascii="Arial" w:hAnsi="Arial" w:cs="Arial"/>
          <w:sz w:val="22"/>
          <w:szCs w:val="20"/>
          <w:lang w:val="it-IT"/>
        </w:rPr>
        <w:t>dell’impegno</w:t>
      </w:r>
      <w:r w:rsidR="00C86289" w:rsidRPr="00421A38">
        <w:rPr>
          <w:rFonts w:ascii="Arial" w:hAnsi="Arial" w:cs="Arial"/>
          <w:sz w:val="22"/>
          <w:szCs w:val="20"/>
          <w:lang w:val="it-IT"/>
        </w:rPr>
        <w:t xml:space="preserve"> </w:t>
      </w:r>
      <w:r>
        <w:rPr>
          <w:rFonts w:ascii="Arial" w:hAnsi="Arial" w:cs="Arial"/>
          <w:sz w:val="22"/>
          <w:szCs w:val="20"/>
          <w:lang w:val="it-IT"/>
        </w:rPr>
        <w:t>di Goodyear nei confronti</w:t>
      </w:r>
      <w:r w:rsidR="00C86289" w:rsidRPr="00421A38">
        <w:rPr>
          <w:rFonts w:ascii="Arial" w:hAnsi="Arial" w:cs="Arial"/>
          <w:sz w:val="22"/>
          <w:szCs w:val="20"/>
          <w:lang w:val="it-IT"/>
        </w:rPr>
        <w:t xml:space="preserve"> dei rivenditori di tutta Italia</w:t>
      </w:r>
      <w:r>
        <w:rPr>
          <w:rFonts w:ascii="Arial" w:hAnsi="Arial" w:cs="Arial"/>
          <w:sz w:val="22"/>
          <w:szCs w:val="20"/>
          <w:lang w:val="it-IT"/>
        </w:rPr>
        <w:t>: i</w:t>
      </w:r>
      <w:r w:rsidR="008C40FF">
        <w:rPr>
          <w:rFonts w:ascii="Arial" w:hAnsi="Arial" w:cs="Arial"/>
          <w:sz w:val="22"/>
          <w:szCs w:val="20"/>
          <w:lang w:val="it-IT"/>
        </w:rPr>
        <w:t xml:space="preserve">n questo modo, </w:t>
      </w:r>
      <w:r>
        <w:rPr>
          <w:rFonts w:ascii="Arial" w:hAnsi="Arial" w:cs="Arial"/>
          <w:sz w:val="22"/>
          <w:szCs w:val="20"/>
          <w:lang w:val="it-IT"/>
        </w:rPr>
        <w:t xml:space="preserve">anche </w:t>
      </w:r>
      <w:r w:rsidR="008C40FF">
        <w:rPr>
          <w:rFonts w:ascii="Arial" w:hAnsi="Arial" w:cs="Arial"/>
          <w:sz w:val="22"/>
          <w:szCs w:val="20"/>
          <w:lang w:val="it-IT"/>
        </w:rPr>
        <w:t xml:space="preserve">i rivenditori delle aree con clima più mite e non soggette alle ordinanze invernali potranno beneficiare di </w:t>
      </w:r>
      <w:r w:rsidR="00013B0F">
        <w:rPr>
          <w:rFonts w:ascii="Arial" w:hAnsi="Arial" w:cs="Arial"/>
          <w:sz w:val="22"/>
          <w:szCs w:val="20"/>
          <w:lang w:val="it-IT"/>
        </w:rPr>
        <w:t>un programma</w:t>
      </w:r>
      <w:r w:rsidR="008C40FF">
        <w:rPr>
          <w:rFonts w:ascii="Arial" w:hAnsi="Arial" w:cs="Arial"/>
          <w:sz w:val="22"/>
          <w:szCs w:val="20"/>
          <w:lang w:val="it-IT"/>
        </w:rPr>
        <w:t xml:space="preserve"> in linea con le caratteristiche del territorio di appartenenza</w:t>
      </w:r>
      <w:r w:rsidR="00745A51">
        <w:rPr>
          <w:rFonts w:ascii="Arial" w:hAnsi="Arial" w:cs="Arial"/>
          <w:sz w:val="22"/>
          <w:szCs w:val="20"/>
          <w:lang w:val="it-IT"/>
        </w:rPr>
        <w:t>, offrendo</w:t>
      </w:r>
      <w:r w:rsidR="008C40FF">
        <w:rPr>
          <w:rFonts w:ascii="Arial" w:hAnsi="Arial" w:cs="Arial"/>
          <w:sz w:val="22"/>
          <w:szCs w:val="20"/>
          <w:lang w:val="it-IT"/>
        </w:rPr>
        <w:t xml:space="preserve"> ai propri clienti pneumatici in grado di soddisfare le esigenze più diversificate. </w:t>
      </w:r>
    </w:p>
    <w:p w:rsidR="004E0ACA" w:rsidRPr="00421A38" w:rsidRDefault="00CB1CB6" w:rsidP="004E0ACA">
      <w:pPr>
        <w:spacing w:line="360" w:lineRule="auto"/>
        <w:jc w:val="both"/>
        <w:rPr>
          <w:rFonts w:ascii="Arial" w:hAnsi="Arial" w:cs="Arial"/>
          <w:sz w:val="22"/>
          <w:szCs w:val="20"/>
          <w:lang w:val="it-IT"/>
        </w:rPr>
      </w:pPr>
      <w:r>
        <w:rPr>
          <w:rFonts w:ascii="Arial" w:hAnsi="Arial" w:cs="Arial"/>
          <w:sz w:val="22"/>
          <w:szCs w:val="20"/>
          <w:lang w:val="it-IT"/>
        </w:rPr>
        <w:t>La campagna sarà declinata in due varianti il linea con lo spirito dei due brand: “</w:t>
      </w:r>
      <w:r w:rsidRPr="00633BB3">
        <w:rPr>
          <w:rFonts w:ascii="Arial" w:hAnsi="Arial" w:cs="Arial"/>
          <w:b/>
          <w:sz w:val="22"/>
          <w:szCs w:val="20"/>
          <w:lang w:val="it-IT"/>
        </w:rPr>
        <w:t>Bentornato inverno</w:t>
      </w:r>
      <w:r>
        <w:rPr>
          <w:rFonts w:ascii="Arial" w:hAnsi="Arial" w:cs="Arial"/>
          <w:sz w:val="22"/>
          <w:szCs w:val="20"/>
          <w:lang w:val="it-IT"/>
        </w:rPr>
        <w:t>” per il piacere di viaggiare sicuri con Goodyear e “</w:t>
      </w:r>
      <w:r w:rsidRPr="00633BB3">
        <w:rPr>
          <w:rFonts w:ascii="Arial" w:hAnsi="Arial" w:cs="Arial"/>
          <w:b/>
          <w:sz w:val="22"/>
          <w:szCs w:val="20"/>
          <w:lang w:val="it-IT"/>
        </w:rPr>
        <w:t>Sfida l’inverno</w:t>
      </w:r>
      <w:r>
        <w:rPr>
          <w:rFonts w:ascii="Arial" w:hAnsi="Arial" w:cs="Arial"/>
          <w:sz w:val="22"/>
          <w:szCs w:val="20"/>
          <w:lang w:val="it-IT"/>
        </w:rPr>
        <w:t>” per mordere l’asfalto con Dunlop.</w:t>
      </w:r>
    </w:p>
    <w:p w:rsidR="00013B0F" w:rsidRPr="00E140C0" w:rsidRDefault="00013B0F" w:rsidP="001039A8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  <w:lang w:val="it-IT"/>
        </w:rPr>
      </w:pPr>
    </w:p>
    <w:p w:rsidR="001039A8" w:rsidRPr="00E140C0" w:rsidRDefault="009256B3" w:rsidP="00103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42EBDFC" wp14:editId="003B48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4230" cy="0"/>
                <wp:effectExtent l="0" t="0" r="2032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DE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0;width:464.9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"/>
            </w:pict>
          </mc:Fallback>
        </mc:AlternateContent>
      </w:r>
    </w:p>
    <w:p w:rsidR="000C77FE" w:rsidRPr="00797D4E" w:rsidRDefault="000C77FE" w:rsidP="000C77FE">
      <w:pPr>
        <w:spacing w:after="160"/>
        <w:jc w:val="both"/>
        <w:rPr>
          <w:rFonts w:ascii="Arial" w:hAnsi="Arial" w:cs="Arial"/>
          <w:b/>
          <w:color w:val="000000"/>
          <w:sz w:val="16"/>
          <w:szCs w:val="16"/>
          <w:lang w:val="it-IT"/>
        </w:rPr>
      </w:pPr>
      <w:r w:rsidRPr="00797D4E">
        <w:rPr>
          <w:rFonts w:ascii="Arial" w:hAnsi="Arial" w:cs="Arial"/>
          <w:b/>
          <w:color w:val="0055A4"/>
          <w:sz w:val="16"/>
          <w:szCs w:val="16"/>
          <w:lang w:val="it-IT"/>
        </w:rPr>
        <w:t xml:space="preserve">Goodyear </w:t>
      </w:r>
      <w:r w:rsidRPr="00797D4E">
        <w:rPr>
          <w:rFonts w:ascii="Arial" w:hAnsi="Arial" w:cs="Arial"/>
          <w:color w:val="000000"/>
          <w:sz w:val="16"/>
          <w:szCs w:val="16"/>
          <w:lang w:val="it-IT"/>
        </w:rPr>
        <w:t>è una delle principali aziende costruttrici di pneumatici del mondo. Ha un organico di circa 6</w:t>
      </w:r>
      <w:r>
        <w:rPr>
          <w:rFonts w:ascii="Arial" w:hAnsi="Arial" w:cs="Arial"/>
          <w:color w:val="000000"/>
          <w:sz w:val="16"/>
          <w:szCs w:val="16"/>
          <w:lang w:val="it-IT"/>
        </w:rPr>
        <w:t>6</w:t>
      </w:r>
      <w:r w:rsidRPr="00797D4E">
        <w:rPr>
          <w:rFonts w:ascii="Arial" w:hAnsi="Arial" w:cs="Arial"/>
          <w:color w:val="000000"/>
          <w:sz w:val="16"/>
          <w:szCs w:val="16"/>
          <w:lang w:val="it-IT"/>
        </w:rPr>
        <w:t xml:space="preserve">.000 dipendenti e fabbrica i suoi prodotti in </w:t>
      </w:r>
      <w:r>
        <w:rPr>
          <w:rFonts w:ascii="Arial" w:hAnsi="Arial" w:cs="Arial"/>
          <w:color w:val="000000"/>
          <w:sz w:val="16"/>
          <w:szCs w:val="16"/>
          <w:lang w:val="it-IT"/>
        </w:rPr>
        <w:t>49</w:t>
      </w:r>
      <w:r w:rsidRPr="00797D4E">
        <w:rPr>
          <w:rFonts w:ascii="Arial" w:hAnsi="Arial" w:cs="Arial"/>
          <w:color w:val="000000"/>
          <w:sz w:val="16"/>
          <w:szCs w:val="16"/>
          <w:lang w:val="it-IT"/>
        </w:rPr>
        <w:t xml:space="preserve"> stabilimenti in 22 paesi del mondo. I suoi due Centri di Innovazione, ad Akron, nello Stato dell’Ohio (USA) e a Colmar-</w:t>
      </w:r>
      <w:proofErr w:type="spellStart"/>
      <w:r w:rsidRPr="00797D4E">
        <w:rPr>
          <w:rFonts w:ascii="Arial" w:hAnsi="Arial" w:cs="Arial"/>
          <w:color w:val="000000"/>
          <w:sz w:val="16"/>
          <w:szCs w:val="16"/>
          <w:lang w:val="it-IT"/>
        </w:rPr>
        <w:t>Berg</w:t>
      </w:r>
      <w:proofErr w:type="spellEnd"/>
      <w:r w:rsidRPr="00797D4E">
        <w:rPr>
          <w:rFonts w:ascii="Arial" w:hAnsi="Arial" w:cs="Arial"/>
          <w:color w:val="000000"/>
          <w:sz w:val="16"/>
          <w:szCs w:val="16"/>
          <w:lang w:val="it-IT"/>
        </w:rPr>
        <w:t>, in Lussemburgo, si impegnano per sviluppare prodotti e servizi all’avanguardia, che costituiscono un punto di riferimento per l’industria in termini di prestazioni e tecnologie. Per maggiori informazioni su Goodyear e i suoi prodotti, visitare il sito</w:t>
      </w:r>
      <w:r w:rsidRPr="00797D4E">
        <w:rPr>
          <w:rFonts w:ascii="Arial" w:hAnsi="Arial" w:cs="Arial"/>
          <w:color w:val="58595B"/>
          <w:sz w:val="16"/>
          <w:szCs w:val="16"/>
          <w:lang w:val="it-IT"/>
        </w:rPr>
        <w:t xml:space="preserve">: </w:t>
      </w:r>
      <w:hyperlink r:id="rId8" w:history="1">
        <w:r w:rsidRPr="00797D4E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http://www.goodyear.it</w:t>
        </w:r>
      </w:hyperlink>
      <w:r w:rsidRPr="00797D4E">
        <w:rPr>
          <w:rFonts w:ascii="Arial" w:hAnsi="Arial" w:cs="Arial"/>
          <w:sz w:val="16"/>
          <w:szCs w:val="16"/>
          <w:lang w:val="it-IT"/>
        </w:rPr>
        <w:t xml:space="preserve"> </w:t>
      </w:r>
    </w:p>
    <w:p w:rsidR="009256B3" w:rsidRPr="00C858A6" w:rsidRDefault="009256B3" w:rsidP="000C77FE">
      <w:pPr>
        <w:spacing w:after="160"/>
        <w:jc w:val="both"/>
        <w:rPr>
          <w:rFonts w:ascii="Arial" w:hAnsi="Arial" w:cs="Arial"/>
          <w:color w:val="58595B"/>
          <w:sz w:val="16"/>
          <w:szCs w:val="16"/>
          <w:lang w:val="it-IT"/>
        </w:rPr>
      </w:pPr>
    </w:p>
    <w:sectPr w:rsidR="009256B3" w:rsidRPr="00C858A6" w:rsidSect="00E27369">
      <w:headerReference w:type="default" r:id="rId9"/>
      <w:pgSz w:w="11900" w:h="16840"/>
      <w:pgMar w:top="1814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0A" w:rsidRDefault="00E7070A" w:rsidP="008E499B">
      <w:r>
        <w:separator/>
      </w:r>
    </w:p>
  </w:endnote>
  <w:endnote w:type="continuationSeparator" w:id="0">
    <w:p w:rsidR="00E7070A" w:rsidRDefault="00E7070A" w:rsidP="008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0A" w:rsidRDefault="00E7070A" w:rsidP="008E499B">
      <w:r>
        <w:separator/>
      </w:r>
    </w:p>
  </w:footnote>
  <w:footnote w:type="continuationSeparator" w:id="0">
    <w:p w:rsidR="00E7070A" w:rsidRDefault="00E7070A" w:rsidP="008E499B">
      <w:r>
        <w:continuationSeparator/>
      </w:r>
    </w:p>
  </w:footnote>
  <w:footnote w:id="1">
    <w:p w:rsidR="00C858A6" w:rsidRPr="00C858A6" w:rsidRDefault="00C858A6">
      <w:pPr>
        <w:pStyle w:val="Testonotaapidipagina"/>
        <w:rPr>
          <w:sz w:val="17"/>
          <w:szCs w:val="17"/>
          <w:lang w:val="it-IT"/>
        </w:rPr>
      </w:pPr>
      <w:r w:rsidRPr="00C858A6">
        <w:rPr>
          <w:rStyle w:val="Rimandonotaapidipagina"/>
          <w:sz w:val="17"/>
          <w:szCs w:val="17"/>
        </w:rPr>
        <w:footnoteRef/>
      </w:r>
      <w:r w:rsidRPr="00C858A6">
        <w:rPr>
          <w:sz w:val="17"/>
          <w:szCs w:val="17"/>
        </w:rPr>
        <w:t xml:space="preserve"> </w:t>
      </w:r>
      <w:r w:rsidR="00202609">
        <w:rPr>
          <w:sz w:val="17"/>
          <w:szCs w:val="17"/>
          <w:lang w:val="it-IT"/>
        </w:rPr>
        <w:t>In base alla misura del cerchio.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88" w:rsidRPr="00AE51D9" w:rsidRDefault="009F58C2">
    <w:pPr>
      <w:pStyle w:val="Intestazione"/>
      <w:rPr>
        <w:b/>
        <w:sz w:val="30"/>
        <w:szCs w:val="3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791845</wp:posOffset>
          </wp:positionH>
          <wp:positionV relativeFrom="page">
            <wp:posOffset>530860</wp:posOffset>
          </wp:positionV>
          <wp:extent cx="3312160" cy="389255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49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6138AA" wp14:editId="7FC7BB67">
              <wp:simplePos x="0" y="0"/>
              <wp:positionH relativeFrom="margin">
                <wp:align>left</wp:align>
              </wp:positionH>
              <wp:positionV relativeFrom="paragraph">
                <wp:posOffset>289560</wp:posOffset>
              </wp:positionV>
              <wp:extent cx="2667000" cy="35560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32B1" w:rsidRPr="006F0F8E" w:rsidRDefault="00DF32B1" w:rsidP="00DF32B1">
                          <w:pPr>
                            <w:spacing w:line="360" w:lineRule="auto"/>
                            <w:ind w:right="1"/>
                            <w:rPr>
                              <w:rFonts w:ascii="Arial" w:hAnsi="Arial" w:cs="Arial"/>
                              <w:color w:val="33333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  <w:t>COMUNICATO STAMPA</w:t>
                          </w:r>
                          <w:r w:rsidRPr="006F0F8E">
                            <w:rPr>
                              <w:rFonts w:ascii="Arial" w:hAnsi="Arial" w:cs="Arial"/>
                              <w:color w:val="333333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C17788" w:rsidRPr="002D00D4" w:rsidRDefault="00C17788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138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22.8pt;width:210pt;height:2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" filled="f" stroked="f" strokeweight=".5pt">
              <v:textbox>
                <w:txbxContent>
                  <w:p w:rsidR="00DF32B1" w:rsidRPr="006F0F8E" w:rsidRDefault="00DF32B1" w:rsidP="00DF32B1">
                    <w:pPr>
                      <w:spacing w:line="360" w:lineRule="auto"/>
                      <w:ind w:right="1"/>
                      <w:rPr>
                        <w:rFonts w:ascii="Arial" w:hAnsi="Arial" w:cs="Arial"/>
                        <w:color w:val="333333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  <w:t>COMUNICATO STAMPA</w:t>
                    </w:r>
                    <w:r w:rsidRPr="006F0F8E">
                      <w:rPr>
                        <w:rFonts w:ascii="Arial" w:hAnsi="Arial" w:cs="Arial"/>
                        <w:color w:val="333333"/>
                        <w:sz w:val="32"/>
                        <w:szCs w:val="32"/>
                      </w:rPr>
                      <w:t xml:space="preserve"> </w:t>
                    </w:r>
                  </w:p>
                  <w:p w:rsidR="00C17788" w:rsidRPr="002D00D4" w:rsidRDefault="00C17788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17788">
      <w:rPr>
        <w:rFonts w:ascii="Arial" w:hAnsi="Arial" w:cs="Arial"/>
        <w:noProof/>
        <w:color w:val="5F5F5F"/>
        <w:sz w:val="32"/>
        <w:szCs w:val="32"/>
        <w:lang w:val="en-US"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1B3"/>
    <w:multiLevelType w:val="hybridMultilevel"/>
    <w:tmpl w:val="C33C45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246F"/>
    <w:multiLevelType w:val="hybridMultilevel"/>
    <w:tmpl w:val="3CD0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43174"/>
    <w:multiLevelType w:val="hybridMultilevel"/>
    <w:tmpl w:val="F5324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52"/>
    <w:rsid w:val="000034FD"/>
    <w:rsid w:val="00013B0F"/>
    <w:rsid w:val="0002070C"/>
    <w:rsid w:val="0002334F"/>
    <w:rsid w:val="00025618"/>
    <w:rsid w:val="00044647"/>
    <w:rsid w:val="00053078"/>
    <w:rsid w:val="0006423D"/>
    <w:rsid w:val="00064495"/>
    <w:rsid w:val="00092FCC"/>
    <w:rsid w:val="0009548E"/>
    <w:rsid w:val="00095A34"/>
    <w:rsid w:val="000A09AA"/>
    <w:rsid w:val="000C4D26"/>
    <w:rsid w:val="000C6686"/>
    <w:rsid w:val="000C77FE"/>
    <w:rsid w:val="000F0FA2"/>
    <w:rsid w:val="000F3AA3"/>
    <w:rsid w:val="001007F1"/>
    <w:rsid w:val="001039A8"/>
    <w:rsid w:val="0010554B"/>
    <w:rsid w:val="00105FA0"/>
    <w:rsid w:val="001075F8"/>
    <w:rsid w:val="00121A73"/>
    <w:rsid w:val="00127FCD"/>
    <w:rsid w:val="00132FBB"/>
    <w:rsid w:val="00142776"/>
    <w:rsid w:val="00143FDB"/>
    <w:rsid w:val="001666D9"/>
    <w:rsid w:val="0018140A"/>
    <w:rsid w:val="001A0972"/>
    <w:rsid w:val="001A2F6D"/>
    <w:rsid w:val="001A4C78"/>
    <w:rsid w:val="001A7968"/>
    <w:rsid w:val="001A7C56"/>
    <w:rsid w:val="001C5E74"/>
    <w:rsid w:val="001C6277"/>
    <w:rsid w:val="001F2678"/>
    <w:rsid w:val="002014D9"/>
    <w:rsid w:val="00202609"/>
    <w:rsid w:val="00212A50"/>
    <w:rsid w:val="00215272"/>
    <w:rsid w:val="00226F21"/>
    <w:rsid w:val="00227DF2"/>
    <w:rsid w:val="00244012"/>
    <w:rsid w:val="002768CA"/>
    <w:rsid w:val="00277610"/>
    <w:rsid w:val="00286C23"/>
    <w:rsid w:val="00291FA8"/>
    <w:rsid w:val="002A614E"/>
    <w:rsid w:val="002B3A1E"/>
    <w:rsid w:val="002B628E"/>
    <w:rsid w:val="002B6B84"/>
    <w:rsid w:val="002D00D4"/>
    <w:rsid w:val="002D1CD5"/>
    <w:rsid w:val="002D6DA4"/>
    <w:rsid w:val="002F3050"/>
    <w:rsid w:val="002F5249"/>
    <w:rsid w:val="00301D2B"/>
    <w:rsid w:val="00312799"/>
    <w:rsid w:val="00313AB2"/>
    <w:rsid w:val="00316A38"/>
    <w:rsid w:val="00347799"/>
    <w:rsid w:val="003578FF"/>
    <w:rsid w:val="003612E3"/>
    <w:rsid w:val="00362D22"/>
    <w:rsid w:val="00364791"/>
    <w:rsid w:val="00367EC9"/>
    <w:rsid w:val="003732BF"/>
    <w:rsid w:val="0037405B"/>
    <w:rsid w:val="003742C2"/>
    <w:rsid w:val="00381DB3"/>
    <w:rsid w:val="00391783"/>
    <w:rsid w:val="00394E5A"/>
    <w:rsid w:val="003972D9"/>
    <w:rsid w:val="003A6D7B"/>
    <w:rsid w:val="003A7A9A"/>
    <w:rsid w:val="003B12B1"/>
    <w:rsid w:val="003B42F4"/>
    <w:rsid w:val="003C2374"/>
    <w:rsid w:val="003D0C06"/>
    <w:rsid w:val="003D1D91"/>
    <w:rsid w:val="003E20AC"/>
    <w:rsid w:val="003F5164"/>
    <w:rsid w:val="00404E95"/>
    <w:rsid w:val="004129F7"/>
    <w:rsid w:val="00421A38"/>
    <w:rsid w:val="00430722"/>
    <w:rsid w:val="004660A7"/>
    <w:rsid w:val="00470A6F"/>
    <w:rsid w:val="0047702B"/>
    <w:rsid w:val="0048306D"/>
    <w:rsid w:val="0048681D"/>
    <w:rsid w:val="0049340A"/>
    <w:rsid w:val="00495F8E"/>
    <w:rsid w:val="004A60EF"/>
    <w:rsid w:val="004C42EC"/>
    <w:rsid w:val="004C7392"/>
    <w:rsid w:val="004E0ACA"/>
    <w:rsid w:val="004F30E9"/>
    <w:rsid w:val="004F3E93"/>
    <w:rsid w:val="005110F7"/>
    <w:rsid w:val="00532DE7"/>
    <w:rsid w:val="0053789B"/>
    <w:rsid w:val="00542C5C"/>
    <w:rsid w:val="00560FB2"/>
    <w:rsid w:val="005739DB"/>
    <w:rsid w:val="00580DE6"/>
    <w:rsid w:val="005821B2"/>
    <w:rsid w:val="00586AE0"/>
    <w:rsid w:val="005B7A7F"/>
    <w:rsid w:val="005C3B1C"/>
    <w:rsid w:val="005D125B"/>
    <w:rsid w:val="005D6E71"/>
    <w:rsid w:val="005E01F5"/>
    <w:rsid w:val="005E53D9"/>
    <w:rsid w:val="00616B64"/>
    <w:rsid w:val="00624A5A"/>
    <w:rsid w:val="0063095B"/>
    <w:rsid w:val="00631BEE"/>
    <w:rsid w:val="00633BB3"/>
    <w:rsid w:val="0064339D"/>
    <w:rsid w:val="00651486"/>
    <w:rsid w:val="006519BB"/>
    <w:rsid w:val="00662A42"/>
    <w:rsid w:val="00664199"/>
    <w:rsid w:val="006672A0"/>
    <w:rsid w:val="00673BEB"/>
    <w:rsid w:val="00691EB1"/>
    <w:rsid w:val="006922A4"/>
    <w:rsid w:val="006C35C1"/>
    <w:rsid w:val="006D1C1E"/>
    <w:rsid w:val="006D2AE2"/>
    <w:rsid w:val="006D2F59"/>
    <w:rsid w:val="006D4393"/>
    <w:rsid w:val="006E17AC"/>
    <w:rsid w:val="006E535D"/>
    <w:rsid w:val="006F4B2A"/>
    <w:rsid w:val="0070165E"/>
    <w:rsid w:val="007052E2"/>
    <w:rsid w:val="00710C4A"/>
    <w:rsid w:val="007121EE"/>
    <w:rsid w:val="00712983"/>
    <w:rsid w:val="00712A55"/>
    <w:rsid w:val="00715552"/>
    <w:rsid w:val="00721D3D"/>
    <w:rsid w:val="007405E6"/>
    <w:rsid w:val="00745A51"/>
    <w:rsid w:val="00746831"/>
    <w:rsid w:val="00750AAF"/>
    <w:rsid w:val="00750E8A"/>
    <w:rsid w:val="0075105D"/>
    <w:rsid w:val="0075475B"/>
    <w:rsid w:val="00756F91"/>
    <w:rsid w:val="00761253"/>
    <w:rsid w:val="00771080"/>
    <w:rsid w:val="007714F8"/>
    <w:rsid w:val="00773B6D"/>
    <w:rsid w:val="007754F3"/>
    <w:rsid w:val="00784EB2"/>
    <w:rsid w:val="00785278"/>
    <w:rsid w:val="00792A93"/>
    <w:rsid w:val="00797D4E"/>
    <w:rsid w:val="007A3E6E"/>
    <w:rsid w:val="007B04F2"/>
    <w:rsid w:val="007C202B"/>
    <w:rsid w:val="007E11BF"/>
    <w:rsid w:val="007E444F"/>
    <w:rsid w:val="007E56ED"/>
    <w:rsid w:val="007E6611"/>
    <w:rsid w:val="007F186A"/>
    <w:rsid w:val="00800BB6"/>
    <w:rsid w:val="008026FD"/>
    <w:rsid w:val="00805297"/>
    <w:rsid w:val="0080544F"/>
    <w:rsid w:val="00815A3C"/>
    <w:rsid w:val="008268EB"/>
    <w:rsid w:val="00831547"/>
    <w:rsid w:val="008324B2"/>
    <w:rsid w:val="00834A8C"/>
    <w:rsid w:val="008370C7"/>
    <w:rsid w:val="00854F77"/>
    <w:rsid w:val="00867B79"/>
    <w:rsid w:val="008704AF"/>
    <w:rsid w:val="008734A4"/>
    <w:rsid w:val="008747FD"/>
    <w:rsid w:val="00876418"/>
    <w:rsid w:val="00876991"/>
    <w:rsid w:val="0088685C"/>
    <w:rsid w:val="00893E41"/>
    <w:rsid w:val="00894C38"/>
    <w:rsid w:val="008A557B"/>
    <w:rsid w:val="008C284F"/>
    <w:rsid w:val="008C40FF"/>
    <w:rsid w:val="008D2741"/>
    <w:rsid w:val="008D7717"/>
    <w:rsid w:val="008E499B"/>
    <w:rsid w:val="008F5CAF"/>
    <w:rsid w:val="00914CF1"/>
    <w:rsid w:val="00916D87"/>
    <w:rsid w:val="009256B3"/>
    <w:rsid w:val="009260BA"/>
    <w:rsid w:val="0093132C"/>
    <w:rsid w:val="009327BE"/>
    <w:rsid w:val="00932AC6"/>
    <w:rsid w:val="00944585"/>
    <w:rsid w:val="00947BE3"/>
    <w:rsid w:val="00952072"/>
    <w:rsid w:val="009615F3"/>
    <w:rsid w:val="00966B98"/>
    <w:rsid w:val="00973517"/>
    <w:rsid w:val="009B3985"/>
    <w:rsid w:val="009C1036"/>
    <w:rsid w:val="009C2C20"/>
    <w:rsid w:val="009F58C2"/>
    <w:rsid w:val="009F7C56"/>
    <w:rsid w:val="00A034F1"/>
    <w:rsid w:val="00A15EBD"/>
    <w:rsid w:val="00A17A71"/>
    <w:rsid w:val="00A21DB1"/>
    <w:rsid w:val="00A25C62"/>
    <w:rsid w:val="00A26848"/>
    <w:rsid w:val="00A4787E"/>
    <w:rsid w:val="00A5726A"/>
    <w:rsid w:val="00A61231"/>
    <w:rsid w:val="00A71AED"/>
    <w:rsid w:val="00A845D4"/>
    <w:rsid w:val="00A91F21"/>
    <w:rsid w:val="00AA21E8"/>
    <w:rsid w:val="00AB00EE"/>
    <w:rsid w:val="00AB48CA"/>
    <w:rsid w:val="00AD3272"/>
    <w:rsid w:val="00AD48A2"/>
    <w:rsid w:val="00AD4E87"/>
    <w:rsid w:val="00AD55FF"/>
    <w:rsid w:val="00AE51D9"/>
    <w:rsid w:val="00AE5745"/>
    <w:rsid w:val="00AF1610"/>
    <w:rsid w:val="00B0263A"/>
    <w:rsid w:val="00B10DDD"/>
    <w:rsid w:val="00B22B12"/>
    <w:rsid w:val="00B31B5A"/>
    <w:rsid w:val="00B45038"/>
    <w:rsid w:val="00B54B85"/>
    <w:rsid w:val="00B5784E"/>
    <w:rsid w:val="00B7060F"/>
    <w:rsid w:val="00B810A1"/>
    <w:rsid w:val="00B81263"/>
    <w:rsid w:val="00B817FB"/>
    <w:rsid w:val="00B83BA9"/>
    <w:rsid w:val="00B865C4"/>
    <w:rsid w:val="00B9440A"/>
    <w:rsid w:val="00B97C58"/>
    <w:rsid w:val="00BA0B3A"/>
    <w:rsid w:val="00BA2B0A"/>
    <w:rsid w:val="00BA7CE4"/>
    <w:rsid w:val="00BB0D70"/>
    <w:rsid w:val="00BB2CD7"/>
    <w:rsid w:val="00BB3833"/>
    <w:rsid w:val="00BB4A1A"/>
    <w:rsid w:val="00BC3CE0"/>
    <w:rsid w:val="00BC40AD"/>
    <w:rsid w:val="00BD2351"/>
    <w:rsid w:val="00BE3683"/>
    <w:rsid w:val="00BF7B72"/>
    <w:rsid w:val="00C03032"/>
    <w:rsid w:val="00C1109B"/>
    <w:rsid w:val="00C122EB"/>
    <w:rsid w:val="00C1660A"/>
    <w:rsid w:val="00C17788"/>
    <w:rsid w:val="00C36A63"/>
    <w:rsid w:val="00C541C1"/>
    <w:rsid w:val="00C761DD"/>
    <w:rsid w:val="00C858A6"/>
    <w:rsid w:val="00C86289"/>
    <w:rsid w:val="00C86EF6"/>
    <w:rsid w:val="00CA0F01"/>
    <w:rsid w:val="00CB14A3"/>
    <w:rsid w:val="00CB1CB6"/>
    <w:rsid w:val="00CB41C9"/>
    <w:rsid w:val="00CC5D48"/>
    <w:rsid w:val="00CD050C"/>
    <w:rsid w:val="00CF7416"/>
    <w:rsid w:val="00D00779"/>
    <w:rsid w:val="00D255CA"/>
    <w:rsid w:val="00D3041D"/>
    <w:rsid w:val="00D32ADA"/>
    <w:rsid w:val="00D33090"/>
    <w:rsid w:val="00D43C82"/>
    <w:rsid w:val="00D502E1"/>
    <w:rsid w:val="00D5223C"/>
    <w:rsid w:val="00D60B69"/>
    <w:rsid w:val="00D62772"/>
    <w:rsid w:val="00D7004E"/>
    <w:rsid w:val="00D73D79"/>
    <w:rsid w:val="00D76948"/>
    <w:rsid w:val="00D903D1"/>
    <w:rsid w:val="00D9561A"/>
    <w:rsid w:val="00D96534"/>
    <w:rsid w:val="00DA2246"/>
    <w:rsid w:val="00DA2BBB"/>
    <w:rsid w:val="00DA58F9"/>
    <w:rsid w:val="00DB5E23"/>
    <w:rsid w:val="00DB69BF"/>
    <w:rsid w:val="00DC1DFF"/>
    <w:rsid w:val="00DD71B1"/>
    <w:rsid w:val="00DF32B1"/>
    <w:rsid w:val="00E007E3"/>
    <w:rsid w:val="00E04BCB"/>
    <w:rsid w:val="00E10093"/>
    <w:rsid w:val="00E140C0"/>
    <w:rsid w:val="00E1562A"/>
    <w:rsid w:val="00E17158"/>
    <w:rsid w:val="00E27369"/>
    <w:rsid w:val="00E53B73"/>
    <w:rsid w:val="00E606FB"/>
    <w:rsid w:val="00E61528"/>
    <w:rsid w:val="00E6642A"/>
    <w:rsid w:val="00E7070A"/>
    <w:rsid w:val="00E74CC0"/>
    <w:rsid w:val="00E8364A"/>
    <w:rsid w:val="00E83B69"/>
    <w:rsid w:val="00E83C0C"/>
    <w:rsid w:val="00EA3475"/>
    <w:rsid w:val="00EA75B3"/>
    <w:rsid w:val="00EB7B69"/>
    <w:rsid w:val="00EC6F3E"/>
    <w:rsid w:val="00ED39EF"/>
    <w:rsid w:val="00ED7D26"/>
    <w:rsid w:val="00EE43FB"/>
    <w:rsid w:val="00EF2395"/>
    <w:rsid w:val="00F16D52"/>
    <w:rsid w:val="00F20D32"/>
    <w:rsid w:val="00F22DD9"/>
    <w:rsid w:val="00F3153A"/>
    <w:rsid w:val="00F64023"/>
    <w:rsid w:val="00F70A30"/>
    <w:rsid w:val="00F7110B"/>
    <w:rsid w:val="00F76B85"/>
    <w:rsid w:val="00F863F5"/>
    <w:rsid w:val="00F93451"/>
    <w:rsid w:val="00F95B32"/>
    <w:rsid w:val="00F97032"/>
    <w:rsid w:val="00FA398D"/>
    <w:rsid w:val="00FA4241"/>
    <w:rsid w:val="00FD7761"/>
    <w:rsid w:val="00FE47E4"/>
    <w:rsid w:val="00FE6E2C"/>
    <w:rsid w:val="00FE7D41"/>
    <w:rsid w:val="00FF0F6D"/>
    <w:rsid w:val="00FF360C"/>
    <w:rsid w:val="00FF5FFA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EC1719"/>
  <w14:defaultImageDpi w14:val="0"/>
  <w15:docId w15:val="{EFA76131-2E36-46F9-8B93-F223AE5B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3BA9"/>
    <w:pPr>
      <w:spacing w:after="0" w:line="240" w:lineRule="auto"/>
    </w:pPr>
    <w:rPr>
      <w:sz w:val="24"/>
      <w:szCs w:val="24"/>
      <w:lang w:val="nl-BE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E499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E499B"/>
    <w:rPr>
      <w:rFonts w:cs="Times New Roman"/>
    </w:rPr>
  </w:style>
  <w:style w:type="character" w:styleId="Testosegnaposto">
    <w:name w:val="Placeholder Text"/>
    <w:basedOn w:val="Carpredefinitoparagrafo"/>
    <w:uiPriority w:val="99"/>
    <w:semiHidden/>
    <w:rsid w:val="008E499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AE51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E51D9"/>
    <w:rPr>
      <w:rFonts w:ascii="Tahoma" w:hAnsi="Tahoma"/>
      <w:sz w:val="16"/>
    </w:rPr>
  </w:style>
  <w:style w:type="paragraph" w:styleId="Paragrafoelenco">
    <w:name w:val="List Paragraph"/>
    <w:basedOn w:val="Normale"/>
    <w:uiPriority w:val="99"/>
    <w:qFormat/>
    <w:rsid w:val="009260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01D2B"/>
    <w:rPr>
      <w:rFonts w:cs="Times New Roman"/>
      <w:color w:val="006699"/>
      <w:u w:val="none"/>
      <w:effect w:val="none"/>
    </w:rPr>
  </w:style>
  <w:style w:type="character" w:styleId="Rimandocommento">
    <w:name w:val="annotation reference"/>
    <w:basedOn w:val="Carpredefinitoparagrafo"/>
    <w:uiPriority w:val="99"/>
    <w:semiHidden/>
    <w:rsid w:val="00301D2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01D2B"/>
    <w:pPr>
      <w:spacing w:after="200"/>
    </w:pPr>
    <w:rPr>
      <w:sz w:val="20"/>
      <w:szCs w:val="20"/>
      <w:lang w:val="de-D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01D2B"/>
    <w:rPr>
      <w:rFonts w:eastAsia="Times New Roman"/>
      <w:sz w:val="20"/>
      <w:lang w:val="de-D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255CA"/>
    <w:pPr>
      <w:spacing w:after="0"/>
    </w:pPr>
    <w:rPr>
      <w:b/>
      <w:bCs/>
      <w:lang w:val="nl-BE" w:eastAsia="ja-JP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97C58"/>
    <w:rPr>
      <w:rFonts w:eastAsia="Times New Roman"/>
      <w:b/>
      <w:sz w:val="20"/>
      <w:lang w:val="nl-BE" w:eastAsia="ja-JP"/>
    </w:rPr>
  </w:style>
  <w:style w:type="character" w:customStyle="1" w:styleId="rpcl1">
    <w:name w:val="_rpc_l1"/>
    <w:rsid w:val="000C6686"/>
  </w:style>
  <w:style w:type="character" w:customStyle="1" w:styleId="pem">
    <w:name w:val="_pe_m"/>
    <w:rsid w:val="000C6686"/>
  </w:style>
  <w:style w:type="paragraph" w:customStyle="1" w:styleId="Nessunaspaziatura1">
    <w:name w:val="Nessuna spaziatura1"/>
    <w:qFormat/>
    <w:rsid w:val="00DF32B1"/>
    <w:pPr>
      <w:spacing w:after="0" w:line="240" w:lineRule="auto"/>
    </w:pPr>
    <w:rPr>
      <w:rFonts w:ascii="Calibri" w:eastAsia="Calibri" w:hAnsi="Calibri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BB38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3833"/>
    <w:rPr>
      <w:sz w:val="20"/>
      <w:szCs w:val="20"/>
      <w:lang w:val="nl-BE" w:eastAsia="ja-JP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BB383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394E5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94E5A"/>
    <w:rPr>
      <w:sz w:val="20"/>
      <w:szCs w:val="20"/>
      <w:lang w:val="nl-BE" w:eastAsia="ja-JP"/>
    </w:rPr>
  </w:style>
  <w:style w:type="character" w:styleId="Rimandonotadichiusura">
    <w:name w:val="endnote reference"/>
    <w:basedOn w:val="Carpredefinitoparagrafo"/>
    <w:uiPriority w:val="99"/>
    <w:semiHidden/>
    <w:unhideWhenUsed/>
    <w:locked/>
    <w:rsid w:val="00394E5A"/>
    <w:rPr>
      <w:vertAlign w:val="superscript"/>
    </w:rPr>
  </w:style>
  <w:style w:type="paragraph" w:styleId="NormaleWeb">
    <w:name w:val="Normal (Web)"/>
    <w:basedOn w:val="Normale"/>
    <w:uiPriority w:val="99"/>
    <w:unhideWhenUsed/>
    <w:locked/>
    <w:rsid w:val="00E04BCB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orario">
    <w:name w:val="orario"/>
    <w:basedOn w:val="Normale"/>
    <w:rsid w:val="003732BF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Titolo1">
    <w:name w:val="Titolo1"/>
    <w:basedOn w:val="Normale"/>
    <w:rsid w:val="003732BF"/>
    <w:pPr>
      <w:spacing w:before="100" w:beforeAutospacing="1" w:after="100" w:afterAutospacing="1"/>
    </w:pPr>
    <w:rPr>
      <w:rFonts w:eastAsia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B9D7-7999-49CE-9FF6-655012C5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BBDO Belgium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Tritt</dc:creator>
  <cp:keywords/>
  <dc:description/>
  <cp:lastModifiedBy>Andrea Scaliti</cp:lastModifiedBy>
  <cp:revision>3</cp:revision>
  <cp:lastPrinted>2015-09-30T16:18:00Z</cp:lastPrinted>
  <dcterms:created xsi:type="dcterms:W3CDTF">2017-10-18T14:52:00Z</dcterms:created>
  <dcterms:modified xsi:type="dcterms:W3CDTF">2017-10-18T14:52:00Z</dcterms:modified>
</cp:coreProperties>
</file>