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BC8CD" w14:textId="503ADB53" w:rsidR="007E6CC0" w:rsidRPr="002F1B9A" w:rsidRDefault="008A0537" w:rsidP="008A0537">
      <w:pPr>
        <w:jc w:val="right"/>
        <w:rPr>
          <w:rFonts w:asciiTheme="minorHAnsi" w:eastAsia="Arial" w:hAnsiTheme="minorHAnsi" w:cs="Arial"/>
          <w:b/>
          <w:color w:val="767171" w:themeColor="background2" w:themeShade="80"/>
          <w:sz w:val="28"/>
          <w:szCs w:val="28"/>
          <w:lang w:val="de-CH"/>
        </w:rPr>
      </w:pPr>
      <w:r>
        <w:rPr>
          <w:rFonts w:asciiTheme="minorHAnsi" w:eastAsia="Arial" w:hAnsiTheme="minorHAnsi" w:cs="Arial"/>
          <w:b/>
          <w:noProof/>
          <w:color w:val="767171" w:themeColor="background2" w:themeShade="80"/>
          <w:sz w:val="28"/>
          <w:szCs w:val="28"/>
          <w:lang w:val="fr-CH" w:eastAsia="fr-CH"/>
        </w:rPr>
        <mc:AlternateContent>
          <mc:Choice Requires="wps">
            <w:drawing>
              <wp:anchor distT="0" distB="0" distL="114300" distR="114300" simplePos="0" relativeHeight="251659264" behindDoc="0" locked="0" layoutInCell="1" allowOverlap="1" wp14:anchorId="138E3ED9" wp14:editId="7E97F1A5">
                <wp:simplePos x="0" y="0"/>
                <wp:positionH relativeFrom="column">
                  <wp:posOffset>-61595</wp:posOffset>
                </wp:positionH>
                <wp:positionV relativeFrom="paragraph">
                  <wp:posOffset>-228600</wp:posOffset>
                </wp:positionV>
                <wp:extent cx="1695450" cy="5048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95450" cy="504825"/>
                        </a:xfrm>
                        <a:prstGeom prst="rect">
                          <a:avLst/>
                        </a:prstGeom>
                        <a:noFill/>
                        <a:ln w="6350">
                          <a:noFill/>
                        </a:ln>
                      </wps:spPr>
                      <wps:txbx>
                        <w:txbxContent>
                          <w:p w14:paraId="6EC8D612" w14:textId="2593D2BC" w:rsidR="008A0537" w:rsidRDefault="008A0537">
                            <w:r>
                              <w:rPr>
                                <w:noProof/>
                                <w:lang w:val="fr-CH" w:eastAsia="fr-CH"/>
                              </w:rPr>
                              <w:drawing>
                                <wp:inline distT="0" distB="0" distL="0" distR="0" wp14:anchorId="33084BA4" wp14:editId="19BA2B06">
                                  <wp:extent cx="1506220" cy="3378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dyear logo blue.png"/>
                                          <pic:cNvPicPr/>
                                        </pic:nvPicPr>
                                        <pic:blipFill>
                                          <a:blip r:embed="rId4">
                                            <a:extLst>
                                              <a:ext uri="{28A0092B-C50C-407E-A947-70E740481C1C}">
                                                <a14:useLocalDpi xmlns:a14="http://schemas.microsoft.com/office/drawing/2010/main" val="0"/>
                                              </a:ext>
                                            </a:extLst>
                                          </a:blip>
                                          <a:stretch>
                                            <a:fillRect/>
                                          </a:stretch>
                                        </pic:blipFill>
                                        <pic:spPr>
                                          <a:xfrm>
                                            <a:off x="0" y="0"/>
                                            <a:ext cx="1506220" cy="3378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8E3ED9" id="_x0000_t202" coordsize="21600,21600" o:spt="202" path="m,l,21600r21600,l21600,xe">
                <v:stroke joinstyle="miter"/>
                <v:path gradientshapeok="t" o:connecttype="rect"/>
              </v:shapetype>
              <v:shape id="Text Box 1" o:spid="_x0000_s1026" type="#_x0000_t202" style="position:absolute;left:0;text-align:left;margin-left:-4.85pt;margin-top:-18pt;width:133.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OKgIAAFEEAAAOAAAAZHJzL2Uyb0RvYy54bWysVFFv2jAQfp+0/2D5fQQYsDYiVKwV0yTU&#10;VoKqz8axSSTb59mGhP36nZ1AWbenaS/mfHf57u67z8zvWq3IUThfgynoaDCkRBgOZW32BX3Zrj7d&#10;UOIDMyVTYERBT8LTu8XHD/PG5mIMFahSOIIgxueNLWgVgs2zzPNKaOYHYIXBoASnWcCr22elYw2i&#10;a5WNh8NZ1oArrQMuvEfvQxeki4QvpeDhSUovAlEFxd5COl06d/HMFnOW7x2zVc37Ntg/dKFZbbDo&#10;BeqBBUYOrv4DStfcgQcZBhx0BlLWXKQZcJrR8N00m4pZkWZBcry90OT/Hyx/PD47Upe4O0oM07ii&#10;rWgD+QotGUV2GutzTNpYTAstumNm7/fojEO30un4i+MQjCPPpwu3EYzHj2a308kUQxxj0+HkZjyN&#10;MNnb19b58E2AJtEoqMPdJUrZce1Dl3pOicUMrGql0M9yZUhT0NlnhP8tguDKYI04Q9drtEK7a/sB&#10;dlCecC4HnS685asai6+ZD8/MoRCwXxR3eMJDKsAi0FuUVOB+/s0f83E/GKWkQWEV1P84MCcoUd8N&#10;bu52NJlEJabLZPpljBd3HdldR8xB3wNqF7eD3SUz5gd1NqUD/YpvYBmrYogZjrULGs7mfejkjm+I&#10;i+UyJaH2LAtrs7E8QkfSIrXb9pU52/MfcHOPcJYgy9+tocvt6F4eAsg67SgS3LHa8466TVvu31h8&#10;GNf3lPX2T7D4BQAA//8DAFBLAwQUAAYACAAAACEAwYgauOIAAAAJAQAADwAAAGRycy9kb3ducmV2&#10;LnhtbEyPwU7DMAyG70i8Q2QkbltKS7dRmk5TpQkJwWFjF25uk7UVjVOabCs8PeYEJ8vyp9/fn68n&#10;24uzGX3nSMHdPAJhqHa6o0bB4W07W4HwAUlj78go+DIe1sX1VY6ZdhfamfM+NIJDyGeooA1hyKT0&#10;dWss+rkbDPHt6EaLgdexkXrEC4fbXsZRtJAWO+IPLQ6mbE39sT9ZBc/l9hV3VWxX33359HLcDJ+H&#10;91Sp25tp8wgimCn8wfCrz+pQsFPlTqS96BXMHpZM8kwW3ImBOF0mICoF90kKssjl/wbFDwAAAP//&#10;AwBQSwECLQAUAAYACAAAACEAtoM4kv4AAADhAQAAEwAAAAAAAAAAAAAAAAAAAAAAW0NvbnRlbnRf&#10;VHlwZXNdLnhtbFBLAQItABQABgAIAAAAIQA4/SH/1gAAAJQBAAALAAAAAAAAAAAAAAAAAC8BAABf&#10;cmVscy8ucmVsc1BLAQItABQABgAIAAAAIQC/7yWOKgIAAFEEAAAOAAAAAAAAAAAAAAAAAC4CAABk&#10;cnMvZTJvRG9jLnhtbFBLAQItABQABgAIAAAAIQDBiBq44gAAAAkBAAAPAAAAAAAAAAAAAAAAAIQE&#10;AABkcnMvZG93bnJldi54bWxQSwUGAAAAAAQABADzAAAAkwUAAAAA&#10;" filled="f" stroked="f" strokeweight=".5pt">
                <v:textbox>
                  <w:txbxContent>
                    <w:p w14:paraId="6EC8D612" w14:textId="2593D2BC" w:rsidR="008A0537" w:rsidRDefault="008A0537">
                      <w:r>
                        <w:rPr>
                          <w:noProof/>
                          <w:lang w:val="fr-CH" w:eastAsia="fr-CH"/>
                        </w:rPr>
                        <w:drawing>
                          <wp:inline distT="0" distB="0" distL="0" distR="0" wp14:anchorId="33084BA4" wp14:editId="19BA2B06">
                            <wp:extent cx="1506220" cy="3378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dyear logo blue.png"/>
                                    <pic:cNvPicPr/>
                                  </pic:nvPicPr>
                                  <pic:blipFill>
                                    <a:blip r:embed="rId5">
                                      <a:extLst>
                                        <a:ext uri="{28A0092B-C50C-407E-A947-70E740481C1C}">
                                          <a14:useLocalDpi xmlns:a14="http://schemas.microsoft.com/office/drawing/2010/main" val="0"/>
                                        </a:ext>
                                      </a:extLst>
                                    </a:blip>
                                    <a:stretch>
                                      <a:fillRect/>
                                    </a:stretch>
                                  </pic:blipFill>
                                  <pic:spPr>
                                    <a:xfrm>
                                      <a:off x="0" y="0"/>
                                      <a:ext cx="1506220" cy="337820"/>
                                    </a:xfrm>
                                    <a:prstGeom prst="rect">
                                      <a:avLst/>
                                    </a:prstGeom>
                                  </pic:spPr>
                                </pic:pic>
                              </a:graphicData>
                            </a:graphic>
                          </wp:inline>
                        </w:drawing>
                      </w:r>
                    </w:p>
                  </w:txbxContent>
                </v:textbox>
              </v:shape>
            </w:pict>
          </mc:Fallback>
        </mc:AlternateContent>
      </w:r>
      <w:r w:rsidR="00721A72" w:rsidRPr="002F1B9A">
        <w:rPr>
          <w:rFonts w:asciiTheme="minorHAnsi" w:eastAsia="Arial" w:hAnsiTheme="minorHAnsi" w:cs="Arial"/>
          <w:b/>
          <w:color w:val="767171" w:themeColor="background2" w:themeShade="80"/>
          <w:sz w:val="28"/>
          <w:szCs w:val="28"/>
          <w:lang w:val="de-CH"/>
        </w:rPr>
        <w:t>PRESSE</w:t>
      </w:r>
      <w:r w:rsidR="00925E3D">
        <w:rPr>
          <w:rFonts w:asciiTheme="minorHAnsi" w:eastAsia="Arial" w:hAnsiTheme="minorHAnsi" w:cs="Arial"/>
          <w:b/>
          <w:color w:val="767171" w:themeColor="background2" w:themeShade="80"/>
          <w:sz w:val="28"/>
          <w:szCs w:val="28"/>
          <w:lang w:val="de-CH"/>
        </w:rPr>
        <w:t>MITTEILUNG</w:t>
      </w:r>
      <w:r w:rsidR="007E6CC0" w:rsidRPr="002F1B9A">
        <w:rPr>
          <w:rFonts w:asciiTheme="minorHAnsi" w:eastAsia="Arial" w:hAnsiTheme="minorHAnsi" w:cs="Arial"/>
          <w:b/>
          <w:color w:val="767171" w:themeColor="background2" w:themeShade="80"/>
          <w:sz w:val="28"/>
          <w:szCs w:val="28"/>
          <w:lang w:val="de-CH"/>
        </w:rPr>
        <w:t xml:space="preserve"> </w:t>
      </w:r>
    </w:p>
    <w:p w14:paraId="3B630EA2" w14:textId="261E3490" w:rsidR="007E6CC0" w:rsidRPr="002F1B9A" w:rsidRDefault="008A0537" w:rsidP="007E6CC0">
      <w:pPr>
        <w:jc w:val="center"/>
        <w:rPr>
          <w:rFonts w:asciiTheme="minorHAnsi" w:eastAsia="Arial" w:hAnsiTheme="minorHAnsi" w:cs="Arial"/>
          <w:color w:val="002060"/>
          <w:sz w:val="28"/>
          <w:szCs w:val="28"/>
          <w:lang w:val="de-CH"/>
        </w:rPr>
      </w:pPr>
      <w:r w:rsidRPr="002F1B9A">
        <w:rPr>
          <w:rFonts w:asciiTheme="minorHAnsi" w:eastAsia="Arial" w:hAnsiTheme="minorHAnsi" w:cs="Arial"/>
          <w:color w:val="002060"/>
          <w:sz w:val="28"/>
          <w:szCs w:val="28"/>
          <w:lang w:val="de-CH"/>
        </w:rPr>
        <w:br/>
      </w:r>
    </w:p>
    <w:p w14:paraId="51541E5B" w14:textId="77777777" w:rsidR="002F1B9A" w:rsidRDefault="00CE7E46" w:rsidP="007E6CC0">
      <w:pPr>
        <w:jc w:val="center"/>
        <w:rPr>
          <w:rFonts w:ascii="Arial" w:eastAsia="Arial" w:hAnsi="Arial" w:cs="Arial"/>
          <w:b/>
          <w:color w:val="002060"/>
          <w:sz w:val="24"/>
          <w:szCs w:val="28"/>
          <w:lang w:val="de-CH"/>
        </w:rPr>
      </w:pPr>
      <w:r w:rsidRPr="00CE7E46">
        <w:rPr>
          <w:rFonts w:ascii="Arial" w:eastAsia="Arial" w:hAnsi="Arial" w:cs="Arial"/>
          <w:b/>
          <w:color w:val="002060"/>
          <w:sz w:val="24"/>
          <w:szCs w:val="28"/>
          <w:lang w:val="de-CH"/>
        </w:rPr>
        <w:t xml:space="preserve">Goodyear gibt die Partner für </w:t>
      </w:r>
      <w:r>
        <w:rPr>
          <w:rFonts w:ascii="Arial" w:eastAsia="Arial" w:hAnsi="Arial" w:cs="Arial"/>
          <w:b/>
          <w:color w:val="002060"/>
          <w:sz w:val="24"/>
          <w:szCs w:val="28"/>
          <w:lang w:val="de-CH"/>
        </w:rPr>
        <w:t>das</w:t>
      </w:r>
      <w:r w:rsidRPr="00CE7E46">
        <w:rPr>
          <w:rFonts w:ascii="Arial" w:eastAsia="Arial" w:hAnsi="Arial" w:cs="Arial"/>
          <w:b/>
          <w:color w:val="002060"/>
          <w:sz w:val="24"/>
          <w:szCs w:val="28"/>
          <w:lang w:val="de-CH"/>
        </w:rPr>
        <w:t xml:space="preserve"> Projekt </w:t>
      </w:r>
      <w:r w:rsidR="002F1B9A">
        <w:rPr>
          <w:rFonts w:ascii="Arial" w:eastAsia="Arial" w:hAnsi="Arial" w:cs="Arial"/>
          <w:b/>
          <w:color w:val="002060"/>
          <w:sz w:val="24"/>
          <w:szCs w:val="28"/>
          <w:lang w:val="de-CH"/>
        </w:rPr>
        <w:t>seines neuen i</w:t>
      </w:r>
      <w:r w:rsidRPr="00CE7E46">
        <w:rPr>
          <w:rFonts w:ascii="Arial" w:eastAsia="Arial" w:hAnsi="Arial" w:cs="Arial"/>
          <w:b/>
          <w:color w:val="002060"/>
          <w:sz w:val="24"/>
          <w:szCs w:val="28"/>
          <w:lang w:val="de-CH"/>
        </w:rPr>
        <w:t>nternationalen Forschungs- und Entwicklungszentrum</w:t>
      </w:r>
      <w:r w:rsidR="002F1B9A">
        <w:rPr>
          <w:rFonts w:ascii="Arial" w:eastAsia="Arial" w:hAnsi="Arial" w:cs="Arial"/>
          <w:b/>
          <w:color w:val="002060"/>
          <w:sz w:val="24"/>
          <w:szCs w:val="28"/>
          <w:lang w:val="de-CH"/>
        </w:rPr>
        <w:t>s</w:t>
      </w:r>
      <w:r w:rsidRPr="00CE7E46">
        <w:rPr>
          <w:rFonts w:ascii="Arial" w:eastAsia="Arial" w:hAnsi="Arial" w:cs="Arial"/>
          <w:b/>
          <w:color w:val="002060"/>
          <w:sz w:val="24"/>
          <w:szCs w:val="28"/>
          <w:lang w:val="de-CH"/>
        </w:rPr>
        <w:t xml:space="preserve"> auf dem </w:t>
      </w:r>
    </w:p>
    <w:p w14:paraId="0B5D13A7" w14:textId="08A8DDDD" w:rsidR="006A1A99" w:rsidRPr="00CE7E46" w:rsidRDefault="00CE7E46" w:rsidP="007E6CC0">
      <w:pPr>
        <w:jc w:val="center"/>
        <w:rPr>
          <w:rFonts w:ascii="Arial" w:eastAsia="Arial" w:hAnsi="Arial" w:cs="Arial"/>
          <w:b/>
          <w:color w:val="002060"/>
          <w:sz w:val="24"/>
          <w:szCs w:val="28"/>
          <w:lang w:val="de-CH"/>
        </w:rPr>
      </w:pPr>
      <w:r w:rsidRPr="00CE7E46">
        <w:rPr>
          <w:rFonts w:ascii="Arial" w:eastAsia="Arial" w:hAnsi="Arial" w:cs="Arial"/>
          <w:b/>
          <w:color w:val="002060"/>
          <w:sz w:val="24"/>
          <w:szCs w:val="28"/>
          <w:lang w:val="de-CH"/>
        </w:rPr>
        <w:t>Luxembourg Automotive Campus</w:t>
      </w:r>
      <w:r w:rsidRPr="00CE7E46">
        <w:rPr>
          <w:b/>
          <w:color w:val="2F5496"/>
          <w:sz w:val="32"/>
          <w:szCs w:val="32"/>
          <w:lang w:val="de-CH"/>
        </w:rPr>
        <w:t xml:space="preserve"> </w:t>
      </w:r>
      <w:r w:rsidRPr="00CE7E46">
        <w:rPr>
          <w:rFonts w:ascii="Arial" w:eastAsia="Arial" w:hAnsi="Arial" w:cs="Arial"/>
          <w:b/>
          <w:color w:val="002060"/>
          <w:sz w:val="24"/>
          <w:szCs w:val="28"/>
          <w:lang w:val="de-CH"/>
        </w:rPr>
        <w:t>bekannt</w:t>
      </w:r>
    </w:p>
    <w:p w14:paraId="2B915BB7" w14:textId="77777777" w:rsidR="007E6CC0" w:rsidRPr="00CE7E46" w:rsidRDefault="007E6CC0" w:rsidP="007E6CC0">
      <w:pPr>
        <w:jc w:val="center"/>
        <w:rPr>
          <w:rFonts w:asciiTheme="minorHAnsi" w:eastAsia="Arial" w:hAnsiTheme="minorHAnsi" w:cs="Arial"/>
          <w:color w:val="002060"/>
          <w:sz w:val="22"/>
          <w:szCs w:val="22"/>
          <w:lang w:val="de-CH"/>
        </w:rPr>
      </w:pPr>
    </w:p>
    <w:p w14:paraId="02785433" w14:textId="77777777" w:rsidR="007E6CC0" w:rsidRPr="00CE7E46" w:rsidRDefault="007E6CC0" w:rsidP="007E6CC0">
      <w:pPr>
        <w:rPr>
          <w:rFonts w:asciiTheme="minorHAnsi" w:eastAsia="Arial" w:hAnsiTheme="minorHAnsi" w:cs="Arial"/>
          <w:b/>
          <w:bCs/>
          <w:sz w:val="22"/>
          <w:szCs w:val="22"/>
          <w:lang w:val="de-CH"/>
        </w:rPr>
      </w:pPr>
    </w:p>
    <w:p w14:paraId="5D42DE66" w14:textId="6B8D5D50" w:rsidR="007E6CC0" w:rsidRPr="00AD1A4E" w:rsidRDefault="006A1A99" w:rsidP="00721A72">
      <w:pPr>
        <w:spacing w:line="276" w:lineRule="auto"/>
        <w:jc w:val="both"/>
        <w:rPr>
          <w:rFonts w:ascii="Arial" w:eastAsia="Roboto" w:hAnsi="Arial" w:cs="Arial"/>
          <w:color w:val="000000" w:themeColor="text1"/>
          <w:lang w:val="de-CH" w:eastAsia="nl-NL"/>
        </w:rPr>
      </w:pPr>
      <w:r w:rsidRPr="002F1B9A">
        <w:rPr>
          <w:rFonts w:ascii="Arial" w:eastAsia="Arial" w:hAnsi="Arial" w:cs="Arial"/>
          <w:b/>
          <w:bCs/>
          <w:sz w:val="22"/>
          <w:szCs w:val="22"/>
          <w:lang w:val="de-CH"/>
        </w:rPr>
        <w:t xml:space="preserve">Colmar-Berg, </w:t>
      </w:r>
      <w:r w:rsidR="00CE7E46" w:rsidRPr="002F1B9A">
        <w:rPr>
          <w:rFonts w:ascii="Arial" w:eastAsia="Arial" w:hAnsi="Arial" w:cs="Arial"/>
          <w:b/>
          <w:bCs/>
          <w:sz w:val="22"/>
          <w:szCs w:val="22"/>
          <w:lang w:val="de-CH"/>
        </w:rPr>
        <w:t xml:space="preserve">5. </w:t>
      </w:r>
      <w:r w:rsidR="00CE7E46" w:rsidRPr="00CE7E46">
        <w:rPr>
          <w:rFonts w:ascii="Arial" w:eastAsia="Arial" w:hAnsi="Arial" w:cs="Arial"/>
          <w:b/>
          <w:bCs/>
          <w:sz w:val="22"/>
          <w:szCs w:val="22"/>
          <w:lang w:val="de-CH"/>
        </w:rPr>
        <w:t>Juli</w:t>
      </w:r>
      <w:r w:rsidR="007E6CC0" w:rsidRPr="00CE7E46">
        <w:rPr>
          <w:rFonts w:ascii="Arial" w:eastAsia="Arial" w:hAnsi="Arial" w:cs="Arial"/>
          <w:b/>
          <w:bCs/>
          <w:sz w:val="22"/>
          <w:szCs w:val="22"/>
          <w:lang w:val="de-CH"/>
        </w:rPr>
        <w:t xml:space="preserve"> 2017</w:t>
      </w:r>
      <w:r w:rsidR="007E6CC0" w:rsidRPr="00CE7E46">
        <w:rPr>
          <w:rFonts w:ascii="Arial" w:eastAsia="Arial" w:hAnsi="Arial" w:cs="Arial"/>
          <w:sz w:val="22"/>
          <w:szCs w:val="22"/>
          <w:lang w:val="de-CH"/>
        </w:rPr>
        <w:t xml:space="preserve"> </w:t>
      </w:r>
      <w:r w:rsidR="007E6CC0" w:rsidRPr="00CE7E46">
        <w:rPr>
          <w:rFonts w:ascii="Arial" w:eastAsia="Arial" w:hAnsi="Arial" w:cs="Arial"/>
          <w:b/>
          <w:bCs/>
          <w:sz w:val="22"/>
          <w:szCs w:val="22"/>
          <w:lang w:val="de-CH"/>
        </w:rPr>
        <w:t>–</w:t>
      </w:r>
      <w:r w:rsidR="008A0537" w:rsidRPr="00CE7E46">
        <w:rPr>
          <w:rFonts w:asciiTheme="minorHAnsi" w:eastAsia="Arial" w:hAnsiTheme="minorHAnsi" w:cs="Arial"/>
          <w:b/>
          <w:bCs/>
          <w:sz w:val="22"/>
          <w:szCs w:val="22"/>
          <w:lang w:val="de-CH"/>
        </w:rPr>
        <w:t xml:space="preserve"> </w:t>
      </w:r>
      <w:r w:rsidRPr="00CE7E46">
        <w:rPr>
          <w:rFonts w:ascii="Arial" w:eastAsia="Roboto" w:hAnsi="Arial" w:cs="Arial"/>
          <w:color w:val="000000" w:themeColor="text1"/>
          <w:lang w:val="de-CH" w:eastAsia="nl-NL"/>
        </w:rPr>
        <w:t xml:space="preserve">Goodyear </w:t>
      </w:r>
      <w:r w:rsidR="00CE7E46" w:rsidRPr="00CE7E46">
        <w:rPr>
          <w:rFonts w:ascii="Arial" w:eastAsia="Roboto" w:hAnsi="Arial" w:cs="Arial"/>
          <w:color w:val="000000" w:themeColor="text1"/>
          <w:lang w:val="de-CH" w:eastAsia="nl-NL"/>
        </w:rPr>
        <w:t>wird mit de</w:t>
      </w:r>
      <w:r w:rsidR="002F1B9A">
        <w:rPr>
          <w:rFonts w:ascii="Arial" w:eastAsia="Roboto" w:hAnsi="Arial" w:cs="Arial"/>
          <w:color w:val="000000" w:themeColor="text1"/>
          <w:lang w:val="de-CH" w:eastAsia="nl-NL"/>
        </w:rPr>
        <w:t>n</w:t>
      </w:r>
      <w:r w:rsidR="00CE7E46" w:rsidRPr="00CE7E46">
        <w:rPr>
          <w:rFonts w:ascii="Arial" w:eastAsia="Roboto" w:hAnsi="Arial" w:cs="Arial"/>
          <w:color w:val="000000" w:themeColor="text1"/>
          <w:lang w:val="de-CH" w:eastAsia="nl-NL"/>
        </w:rPr>
        <w:t xml:space="preserve"> </w:t>
      </w:r>
      <w:r w:rsidR="002F1B9A">
        <w:rPr>
          <w:rFonts w:ascii="Arial" w:eastAsia="Roboto" w:hAnsi="Arial" w:cs="Arial"/>
          <w:color w:val="000000" w:themeColor="text1"/>
          <w:lang w:val="de-CH" w:eastAsia="nl-NL"/>
        </w:rPr>
        <w:t>Partnern</w:t>
      </w:r>
      <w:r w:rsidRPr="00CE7E46">
        <w:rPr>
          <w:rFonts w:ascii="Arial" w:eastAsia="Roboto" w:hAnsi="Arial" w:cs="Arial"/>
          <w:color w:val="000000" w:themeColor="text1"/>
          <w:lang w:val="de-CH" w:eastAsia="nl-NL"/>
        </w:rPr>
        <w:t xml:space="preserve"> FELIX GIORGETTI &amp; AG Real Estate </w:t>
      </w:r>
      <w:r w:rsidR="00AD1A4E">
        <w:rPr>
          <w:rFonts w:ascii="Arial" w:eastAsia="Roboto" w:hAnsi="Arial" w:cs="Arial"/>
          <w:color w:val="000000" w:themeColor="text1"/>
          <w:lang w:val="de-CH" w:eastAsia="nl-NL"/>
        </w:rPr>
        <w:t>für</w:t>
      </w:r>
      <w:r w:rsidR="00CE7E46" w:rsidRPr="00CE7E46">
        <w:rPr>
          <w:rFonts w:ascii="Arial" w:eastAsia="Roboto" w:hAnsi="Arial" w:cs="Arial"/>
          <w:color w:val="000000" w:themeColor="text1"/>
          <w:lang w:val="de-CH" w:eastAsia="nl-NL"/>
        </w:rPr>
        <w:t xml:space="preserve"> </w:t>
      </w:r>
      <w:r w:rsidR="00AD1A4E">
        <w:rPr>
          <w:rFonts w:ascii="Arial" w:eastAsia="Roboto" w:hAnsi="Arial" w:cs="Arial"/>
          <w:color w:val="000000" w:themeColor="text1"/>
          <w:lang w:val="de-CH" w:eastAsia="nl-NL"/>
        </w:rPr>
        <w:t>den Bau sein</w:t>
      </w:r>
      <w:r w:rsidR="00CE7E46" w:rsidRPr="00CE7E46">
        <w:rPr>
          <w:rFonts w:ascii="Arial" w:eastAsia="Roboto" w:hAnsi="Arial" w:cs="Arial"/>
          <w:color w:val="000000" w:themeColor="text1"/>
          <w:lang w:val="de-CH" w:eastAsia="nl-NL"/>
        </w:rPr>
        <w:t xml:space="preserve">es neuen Gebäudes im zukünftigen </w:t>
      </w:r>
      <w:r w:rsidRPr="00CE7E46">
        <w:rPr>
          <w:rFonts w:ascii="Arial" w:eastAsia="Roboto" w:hAnsi="Arial" w:cs="Arial"/>
          <w:color w:val="000000" w:themeColor="text1"/>
          <w:lang w:val="de-CH" w:eastAsia="nl-NL"/>
        </w:rPr>
        <w:t>Luxembourg Automotive Campus</w:t>
      </w:r>
      <w:r w:rsidR="00CE7E46" w:rsidRPr="00CE7E46">
        <w:rPr>
          <w:rFonts w:ascii="Arial" w:eastAsia="Roboto" w:hAnsi="Arial" w:cs="Arial"/>
          <w:color w:val="000000" w:themeColor="text1"/>
          <w:lang w:val="de-CH" w:eastAsia="nl-NL"/>
        </w:rPr>
        <w:t xml:space="preserve"> zusammenarbeiten</w:t>
      </w:r>
      <w:r w:rsidRPr="00CE7E46">
        <w:rPr>
          <w:rFonts w:ascii="Arial" w:eastAsia="Roboto" w:hAnsi="Arial" w:cs="Arial"/>
          <w:color w:val="000000" w:themeColor="text1"/>
          <w:lang w:val="de-CH" w:eastAsia="nl-NL"/>
        </w:rPr>
        <w:t xml:space="preserve">. </w:t>
      </w:r>
      <w:r w:rsidR="00CE7E46" w:rsidRPr="00AD1A4E">
        <w:rPr>
          <w:rFonts w:ascii="Arial" w:eastAsia="Roboto" w:hAnsi="Arial" w:cs="Arial"/>
          <w:color w:val="000000" w:themeColor="text1"/>
          <w:lang w:val="de-CH" w:eastAsia="nl-NL"/>
        </w:rPr>
        <w:t>Die Konzeptentwicklung wurde ‘</w:t>
      </w:r>
      <w:r w:rsidR="00AD1A4E">
        <w:rPr>
          <w:rFonts w:ascii="Arial" w:eastAsia="Roboto" w:hAnsi="Arial" w:cs="Arial"/>
          <w:color w:val="000000" w:themeColor="text1"/>
          <w:lang w:val="de-CH" w:eastAsia="nl-NL"/>
        </w:rPr>
        <w:t>ASSAR</w:t>
      </w:r>
      <w:r w:rsidR="00CE7E46" w:rsidRPr="00AD1A4E">
        <w:rPr>
          <w:rFonts w:ascii="Arial" w:eastAsia="Roboto" w:hAnsi="Arial" w:cs="Arial"/>
          <w:color w:val="000000" w:themeColor="text1"/>
          <w:lang w:val="de-CH" w:eastAsia="nl-NL"/>
        </w:rPr>
        <w:t xml:space="preserve"> Universum Architect’ anvertraut.</w:t>
      </w:r>
      <w:r w:rsidR="007E6CC0" w:rsidRPr="00AD1A4E">
        <w:rPr>
          <w:rFonts w:ascii="Arial" w:eastAsia="Roboto" w:hAnsi="Arial" w:cs="Arial"/>
          <w:color w:val="000000" w:themeColor="text1"/>
          <w:lang w:val="de-CH" w:eastAsia="nl-NL"/>
        </w:rPr>
        <w:t xml:space="preserve"> </w:t>
      </w:r>
    </w:p>
    <w:p w14:paraId="695ADFE6" w14:textId="77777777" w:rsidR="007E6CC0" w:rsidRPr="00AD1A4E" w:rsidRDefault="007E6CC0" w:rsidP="00721A72">
      <w:pPr>
        <w:spacing w:line="276" w:lineRule="auto"/>
        <w:jc w:val="both"/>
        <w:rPr>
          <w:rFonts w:ascii="Arial" w:eastAsia="Roboto" w:hAnsi="Arial" w:cs="Arial"/>
          <w:color w:val="000000" w:themeColor="text1"/>
          <w:lang w:val="de-CH" w:eastAsia="nl-NL"/>
        </w:rPr>
      </w:pPr>
    </w:p>
    <w:p w14:paraId="4969E079" w14:textId="6B3D9E12" w:rsidR="00AD1A4E" w:rsidRDefault="00CE7E46" w:rsidP="00CE7E46">
      <w:pPr>
        <w:spacing w:line="276" w:lineRule="auto"/>
        <w:jc w:val="both"/>
        <w:rPr>
          <w:rFonts w:ascii="Arial" w:eastAsia="Roboto" w:hAnsi="Arial" w:cs="Arial"/>
          <w:color w:val="000000" w:themeColor="text1"/>
          <w:lang w:val="de-CH" w:eastAsia="nl-NL"/>
        </w:rPr>
      </w:pPr>
      <w:r w:rsidRPr="00AD1A4E">
        <w:rPr>
          <w:rFonts w:ascii="Arial" w:eastAsia="Roboto" w:hAnsi="Arial" w:cs="Arial"/>
          <w:color w:val="000000" w:themeColor="text1"/>
          <w:lang w:val="de-CH" w:eastAsia="nl-NL"/>
        </w:rPr>
        <w:t xml:space="preserve">Der neue Standort </w:t>
      </w:r>
      <w:r w:rsidR="00AD1A4E" w:rsidRPr="00AD1A4E">
        <w:rPr>
          <w:rFonts w:ascii="Arial" w:eastAsia="Roboto" w:hAnsi="Arial" w:cs="Arial"/>
          <w:color w:val="000000" w:themeColor="text1"/>
          <w:lang w:val="de-CH" w:eastAsia="nl-NL"/>
        </w:rPr>
        <w:t xml:space="preserve">mit einer </w:t>
      </w:r>
      <w:r w:rsidR="000413E4" w:rsidRPr="000413E4">
        <w:rPr>
          <w:rFonts w:ascii="Arial" w:eastAsia="Roboto" w:hAnsi="Arial" w:cs="Arial"/>
          <w:color w:val="000000" w:themeColor="text1"/>
          <w:lang w:val="de-CH" w:eastAsia="nl-NL"/>
        </w:rPr>
        <w:t>verpachtbaren</w:t>
      </w:r>
      <w:r w:rsidR="000413E4" w:rsidRPr="000413E4">
        <w:rPr>
          <w:b/>
          <w:bCs/>
          <w:lang w:val="de-CH"/>
        </w:rPr>
        <w:t xml:space="preserve"> </w:t>
      </w:r>
      <w:r w:rsidR="00AD1A4E" w:rsidRPr="00AD1A4E">
        <w:rPr>
          <w:rFonts w:ascii="Arial" w:eastAsia="Roboto" w:hAnsi="Arial" w:cs="Arial"/>
          <w:color w:val="000000" w:themeColor="text1"/>
          <w:lang w:val="de-CH" w:eastAsia="nl-NL"/>
        </w:rPr>
        <w:t xml:space="preserve">Fläche von 16.000 m2 soll ab 2020 seine Tätigkeiten beginnen </w:t>
      </w:r>
      <w:r w:rsidR="00AD1A4E">
        <w:rPr>
          <w:rFonts w:ascii="Arial" w:eastAsia="Roboto" w:hAnsi="Arial" w:cs="Arial"/>
          <w:color w:val="000000" w:themeColor="text1"/>
          <w:lang w:val="de-CH" w:eastAsia="nl-NL"/>
        </w:rPr>
        <w:t xml:space="preserve">und </w:t>
      </w:r>
      <w:r w:rsidRPr="00AD1A4E">
        <w:rPr>
          <w:rFonts w:ascii="Arial" w:eastAsia="Roboto" w:hAnsi="Arial" w:cs="Arial"/>
          <w:color w:val="000000" w:themeColor="text1"/>
          <w:lang w:val="de-CH" w:eastAsia="nl-NL"/>
        </w:rPr>
        <w:t xml:space="preserve">wird rund 1.100 Mitarbeiter </w:t>
      </w:r>
      <w:r w:rsidR="00AD1A4E">
        <w:rPr>
          <w:rFonts w:ascii="Arial" w:eastAsia="Roboto" w:hAnsi="Arial" w:cs="Arial"/>
          <w:color w:val="000000" w:themeColor="text1"/>
          <w:lang w:val="de-CH" w:eastAsia="nl-NL"/>
        </w:rPr>
        <w:t>aus F</w:t>
      </w:r>
      <w:r w:rsidR="002F1B9A">
        <w:rPr>
          <w:rFonts w:ascii="Arial" w:eastAsia="Roboto" w:hAnsi="Arial" w:cs="Arial"/>
          <w:color w:val="000000" w:themeColor="text1"/>
          <w:lang w:val="de-CH" w:eastAsia="nl-NL"/>
        </w:rPr>
        <w:t>orschung und Entwicklung</w:t>
      </w:r>
      <w:r w:rsidR="00AD1A4E">
        <w:rPr>
          <w:rFonts w:ascii="Arial" w:eastAsia="Roboto" w:hAnsi="Arial" w:cs="Arial"/>
          <w:color w:val="000000" w:themeColor="text1"/>
          <w:lang w:val="de-CH" w:eastAsia="nl-NL"/>
        </w:rPr>
        <w:t>, sowie regio</w:t>
      </w:r>
      <w:r w:rsidR="002F1B9A">
        <w:rPr>
          <w:rFonts w:ascii="Arial" w:eastAsia="Roboto" w:hAnsi="Arial" w:cs="Arial"/>
          <w:color w:val="000000" w:themeColor="text1"/>
          <w:lang w:val="de-CH" w:eastAsia="nl-NL"/>
        </w:rPr>
        <w:t>na</w:t>
      </w:r>
      <w:r w:rsidR="00AD1A4E">
        <w:rPr>
          <w:rFonts w:ascii="Arial" w:eastAsia="Roboto" w:hAnsi="Arial" w:cs="Arial"/>
          <w:color w:val="000000" w:themeColor="text1"/>
          <w:lang w:val="de-CH" w:eastAsia="nl-NL"/>
        </w:rPr>
        <w:t>le und globale Funktionen</w:t>
      </w:r>
      <w:r w:rsidR="002F1B9A">
        <w:rPr>
          <w:rFonts w:ascii="Arial" w:eastAsia="Roboto" w:hAnsi="Arial" w:cs="Arial"/>
          <w:color w:val="000000" w:themeColor="text1"/>
          <w:lang w:val="de-CH" w:eastAsia="nl-NL"/>
        </w:rPr>
        <w:t>,</w:t>
      </w:r>
      <w:r w:rsidR="00AD1A4E">
        <w:rPr>
          <w:rFonts w:ascii="Arial" w:eastAsia="Roboto" w:hAnsi="Arial" w:cs="Arial"/>
          <w:color w:val="000000" w:themeColor="text1"/>
          <w:lang w:val="de-CH" w:eastAsia="nl-NL"/>
        </w:rPr>
        <w:t xml:space="preserve"> die zur Zeit in Luxemburg a</w:t>
      </w:r>
      <w:bookmarkStart w:id="0" w:name="_GoBack"/>
      <w:bookmarkEnd w:id="0"/>
      <w:r w:rsidR="00AD1A4E">
        <w:rPr>
          <w:rFonts w:ascii="Arial" w:eastAsia="Roboto" w:hAnsi="Arial" w:cs="Arial"/>
          <w:color w:val="000000" w:themeColor="text1"/>
          <w:lang w:val="de-CH" w:eastAsia="nl-NL"/>
        </w:rPr>
        <w:t>nsässig sind</w:t>
      </w:r>
      <w:r w:rsidR="002F1B9A">
        <w:rPr>
          <w:rFonts w:ascii="Arial" w:eastAsia="Roboto" w:hAnsi="Arial" w:cs="Arial"/>
          <w:color w:val="000000" w:themeColor="text1"/>
          <w:lang w:val="de-CH" w:eastAsia="nl-NL"/>
        </w:rPr>
        <w:t>, beherbegen</w:t>
      </w:r>
      <w:r w:rsidR="00AD1A4E">
        <w:rPr>
          <w:rFonts w:ascii="Arial" w:eastAsia="Roboto" w:hAnsi="Arial" w:cs="Arial"/>
          <w:color w:val="000000" w:themeColor="text1"/>
          <w:lang w:val="de-CH" w:eastAsia="nl-NL"/>
        </w:rPr>
        <w:t xml:space="preserve">. </w:t>
      </w:r>
    </w:p>
    <w:p w14:paraId="7F125D0D" w14:textId="77777777" w:rsidR="00AD1A4E" w:rsidRDefault="00AD1A4E" w:rsidP="00CE7E46">
      <w:pPr>
        <w:spacing w:line="276" w:lineRule="auto"/>
        <w:jc w:val="both"/>
        <w:rPr>
          <w:rFonts w:ascii="Arial" w:eastAsia="Roboto" w:hAnsi="Arial" w:cs="Arial"/>
          <w:color w:val="000000" w:themeColor="text1"/>
          <w:lang w:val="de-CH" w:eastAsia="nl-NL"/>
        </w:rPr>
      </w:pPr>
    </w:p>
    <w:p w14:paraId="2A5AFCA9" w14:textId="128AA4CC" w:rsidR="00CE7E46" w:rsidRPr="00AD1A4E" w:rsidRDefault="00CE7E46" w:rsidP="00CE7E46">
      <w:pPr>
        <w:spacing w:line="276" w:lineRule="auto"/>
        <w:jc w:val="both"/>
        <w:rPr>
          <w:rFonts w:ascii="Arial" w:eastAsia="Roboto" w:hAnsi="Arial" w:cs="Arial"/>
          <w:color w:val="000000" w:themeColor="text1"/>
          <w:lang w:val="de-CH" w:eastAsia="nl-NL"/>
        </w:rPr>
      </w:pPr>
      <w:r w:rsidRPr="00AD1A4E">
        <w:rPr>
          <w:rFonts w:ascii="Arial" w:eastAsia="Roboto" w:hAnsi="Arial" w:cs="Arial"/>
          <w:color w:val="000000" w:themeColor="text1"/>
          <w:lang w:val="de-CH" w:eastAsia="nl-NL"/>
        </w:rPr>
        <w:t xml:space="preserve">Sein Design stellt die Vision </w:t>
      </w:r>
      <w:r w:rsidR="00AD1A4E">
        <w:rPr>
          <w:rFonts w:ascii="Arial" w:eastAsia="Roboto" w:hAnsi="Arial" w:cs="Arial"/>
          <w:color w:val="000000" w:themeColor="text1"/>
          <w:lang w:val="de-CH" w:eastAsia="nl-NL"/>
        </w:rPr>
        <w:t>von Goodyear</w:t>
      </w:r>
      <w:r w:rsidRPr="00AD1A4E">
        <w:rPr>
          <w:rFonts w:ascii="Arial" w:eastAsia="Roboto" w:hAnsi="Arial" w:cs="Arial"/>
          <w:color w:val="000000" w:themeColor="text1"/>
          <w:lang w:val="de-CH" w:eastAsia="nl-NL"/>
        </w:rPr>
        <w:t xml:space="preserve"> einer intelligenten, sicheren und nachhaltigen Innovation der zukünftigen Mobilität dar. </w:t>
      </w:r>
      <w:r w:rsidR="00AD1A4E" w:rsidRPr="00AD1A4E">
        <w:rPr>
          <w:rFonts w:ascii="Arial" w:eastAsia="Roboto" w:hAnsi="Arial" w:cs="Arial"/>
          <w:color w:val="000000" w:themeColor="text1"/>
          <w:lang w:val="de-CH" w:eastAsia="nl-NL"/>
        </w:rPr>
        <w:t xml:space="preserve">Es </w:t>
      </w:r>
      <w:r w:rsidRPr="00AD1A4E">
        <w:rPr>
          <w:rFonts w:ascii="Arial" w:eastAsia="Roboto" w:hAnsi="Arial" w:cs="Arial"/>
          <w:color w:val="000000" w:themeColor="text1"/>
          <w:lang w:val="de-CH" w:eastAsia="nl-NL"/>
        </w:rPr>
        <w:t xml:space="preserve">soll die Verbindung und Zusammenarbeit zwischen Teams fördern, ein offenes, innovatives und inspirierendes Arbeitsumfeld schaffen, indem die Vorteile der 'Lebensweise' eines Campus voll genutzt werden. </w:t>
      </w:r>
      <w:r w:rsidR="00AD1A4E">
        <w:rPr>
          <w:rFonts w:ascii="Arial" w:eastAsia="Roboto" w:hAnsi="Arial" w:cs="Arial"/>
          <w:color w:val="000000" w:themeColor="text1"/>
          <w:lang w:val="de-CH" w:eastAsia="nl-NL"/>
        </w:rPr>
        <w:t>Das Projekt beinhalte</w:t>
      </w:r>
      <w:r w:rsidR="002F1B9A">
        <w:rPr>
          <w:rFonts w:ascii="Arial" w:eastAsia="Roboto" w:hAnsi="Arial" w:cs="Arial"/>
          <w:color w:val="000000" w:themeColor="text1"/>
          <w:lang w:val="de-CH" w:eastAsia="nl-NL"/>
        </w:rPr>
        <w:t>t</w:t>
      </w:r>
      <w:r w:rsidR="00AD1A4E">
        <w:rPr>
          <w:rFonts w:ascii="Arial" w:eastAsia="Roboto" w:hAnsi="Arial" w:cs="Arial"/>
          <w:color w:val="000000" w:themeColor="text1"/>
          <w:lang w:val="de-CH" w:eastAsia="nl-NL"/>
        </w:rPr>
        <w:t xml:space="preserve"> ebenfalls ein Restaurant, ein Fitness-Studio und ein Event Center, welches </w:t>
      </w:r>
      <w:r w:rsidR="002F1B9A">
        <w:rPr>
          <w:rFonts w:ascii="Arial" w:eastAsia="Roboto" w:hAnsi="Arial" w:cs="Arial"/>
          <w:color w:val="000000" w:themeColor="text1"/>
          <w:lang w:val="de-CH" w:eastAsia="nl-NL"/>
        </w:rPr>
        <w:t xml:space="preserve">für </w:t>
      </w:r>
      <w:r w:rsidR="00AD1A4E">
        <w:rPr>
          <w:rFonts w:ascii="Arial" w:eastAsia="Roboto" w:hAnsi="Arial" w:cs="Arial"/>
          <w:color w:val="000000" w:themeColor="text1"/>
          <w:lang w:val="de-CH" w:eastAsia="nl-NL"/>
        </w:rPr>
        <w:t>Produktvorstell</w:t>
      </w:r>
      <w:r w:rsidR="002F1B9A">
        <w:rPr>
          <w:rFonts w:ascii="Arial" w:eastAsia="Roboto" w:hAnsi="Arial" w:cs="Arial"/>
          <w:color w:val="000000" w:themeColor="text1"/>
          <w:lang w:val="de-CH" w:eastAsia="nl-NL"/>
        </w:rPr>
        <w:t>ungen, Medien Events, Ausstellun</w:t>
      </w:r>
      <w:r w:rsidR="00AD1A4E">
        <w:rPr>
          <w:rFonts w:ascii="Arial" w:eastAsia="Roboto" w:hAnsi="Arial" w:cs="Arial"/>
          <w:color w:val="000000" w:themeColor="text1"/>
          <w:lang w:val="de-CH" w:eastAsia="nl-NL"/>
        </w:rPr>
        <w:t>gen zur aktuellen und zuk</w:t>
      </w:r>
      <w:r w:rsidR="002F1B9A">
        <w:rPr>
          <w:rFonts w:ascii="Arial" w:eastAsia="Roboto" w:hAnsi="Arial" w:cs="Arial"/>
          <w:color w:val="000000" w:themeColor="text1"/>
          <w:lang w:val="de-CH" w:eastAsia="nl-NL"/>
        </w:rPr>
        <w:t>ü</w:t>
      </w:r>
      <w:r w:rsidR="00AD1A4E">
        <w:rPr>
          <w:rFonts w:ascii="Arial" w:eastAsia="Roboto" w:hAnsi="Arial" w:cs="Arial"/>
          <w:color w:val="000000" w:themeColor="text1"/>
          <w:lang w:val="de-CH" w:eastAsia="nl-NL"/>
        </w:rPr>
        <w:t>nftigen Mobilität, sowie Teamvers</w:t>
      </w:r>
      <w:r w:rsidR="002F1B9A">
        <w:rPr>
          <w:rFonts w:ascii="Arial" w:eastAsia="Roboto" w:hAnsi="Arial" w:cs="Arial"/>
          <w:color w:val="000000" w:themeColor="text1"/>
          <w:lang w:val="de-CH" w:eastAsia="nl-NL"/>
        </w:rPr>
        <w:t>ammlungen ge</w:t>
      </w:r>
      <w:r w:rsidR="00AD1A4E">
        <w:rPr>
          <w:rFonts w:ascii="Arial" w:eastAsia="Roboto" w:hAnsi="Arial" w:cs="Arial"/>
          <w:color w:val="000000" w:themeColor="text1"/>
          <w:lang w:val="de-CH" w:eastAsia="nl-NL"/>
        </w:rPr>
        <w:t>nutz</w:t>
      </w:r>
      <w:r w:rsidR="002F1B9A">
        <w:rPr>
          <w:rFonts w:ascii="Arial" w:eastAsia="Roboto" w:hAnsi="Arial" w:cs="Arial"/>
          <w:color w:val="000000" w:themeColor="text1"/>
          <w:lang w:val="de-CH" w:eastAsia="nl-NL"/>
        </w:rPr>
        <w:t>t</w:t>
      </w:r>
      <w:r w:rsidR="00AD1A4E">
        <w:rPr>
          <w:rFonts w:ascii="Arial" w:eastAsia="Roboto" w:hAnsi="Arial" w:cs="Arial"/>
          <w:color w:val="000000" w:themeColor="text1"/>
          <w:lang w:val="de-CH" w:eastAsia="nl-NL"/>
        </w:rPr>
        <w:t xml:space="preserve"> werden kann.</w:t>
      </w:r>
    </w:p>
    <w:p w14:paraId="74DBF131" w14:textId="77777777" w:rsidR="00DE584F" w:rsidRPr="002F1B9A" w:rsidRDefault="00DE584F" w:rsidP="00721A72">
      <w:pPr>
        <w:spacing w:line="276" w:lineRule="auto"/>
        <w:jc w:val="both"/>
        <w:rPr>
          <w:rFonts w:ascii="Arial" w:eastAsia="Roboto" w:hAnsi="Arial" w:cs="Arial"/>
          <w:color w:val="000000" w:themeColor="text1"/>
          <w:lang w:val="de-CH" w:eastAsia="nl-NL"/>
        </w:rPr>
      </w:pPr>
    </w:p>
    <w:p w14:paraId="07884B88" w14:textId="4769FD9B" w:rsidR="00D518C5" w:rsidRPr="00D518C5" w:rsidRDefault="00D518C5" w:rsidP="00D518C5">
      <w:pPr>
        <w:spacing w:line="276" w:lineRule="auto"/>
        <w:jc w:val="both"/>
        <w:rPr>
          <w:rFonts w:ascii="Arial" w:eastAsia="Roboto" w:hAnsi="Arial" w:cs="Arial"/>
          <w:color w:val="000000" w:themeColor="text1"/>
          <w:lang w:val="de-CH" w:eastAsia="nl-NL"/>
        </w:rPr>
      </w:pPr>
      <w:r w:rsidRPr="00D518C5">
        <w:rPr>
          <w:rFonts w:ascii="Arial" w:eastAsia="Roboto" w:hAnsi="Arial" w:cs="Arial"/>
          <w:color w:val="000000" w:themeColor="text1"/>
          <w:lang w:val="de-CH" w:eastAsia="nl-NL"/>
        </w:rPr>
        <w:t>“Der Umzug in das neue Innovationszentrum wird ein bedeutender Meilenstein für Goodyear sein,” erklärt Carlos Cipollitti, Vizepräsident EMEA Produktentwicklung, EMEA. “Es wird den Beitrag von Goodyear zu den zukünftigen Mobilitätslösungen durch die Entwicklung und Fertigung von intelligenten Produkten und Dienstleistungen, welche die Bedürfnisse der Kunden und Verbraucher vorgreifen, weiter beschleunigen.”</w:t>
      </w:r>
    </w:p>
    <w:p w14:paraId="18CCE930" w14:textId="77777777" w:rsidR="007E6CC0" w:rsidRPr="00D518C5" w:rsidRDefault="007E6CC0" w:rsidP="007E6CC0">
      <w:pPr>
        <w:rPr>
          <w:rFonts w:asciiTheme="minorHAnsi" w:hAnsiTheme="minorHAnsi"/>
          <w:sz w:val="22"/>
          <w:szCs w:val="22"/>
          <w:lang w:val="de-CH"/>
        </w:rPr>
      </w:pPr>
    </w:p>
    <w:p w14:paraId="2B271D1D" w14:textId="77777777" w:rsidR="008A0537" w:rsidRPr="002F1B9A" w:rsidRDefault="008A0537" w:rsidP="008A0537">
      <w:pPr>
        <w:pStyle w:val="Standaard1"/>
        <w:jc w:val="center"/>
        <w:rPr>
          <w:rFonts w:asciiTheme="minorHAnsi" w:eastAsia="Roboto" w:hAnsiTheme="minorHAnsi"/>
          <w:color w:val="000000" w:themeColor="text1"/>
          <w:sz w:val="20"/>
          <w:szCs w:val="20"/>
          <w:lang w:val="de-CH"/>
        </w:rPr>
      </w:pPr>
      <w:r w:rsidRPr="002F1B9A">
        <w:rPr>
          <w:rFonts w:asciiTheme="minorHAnsi" w:eastAsia="Roboto" w:hAnsiTheme="minorHAnsi"/>
          <w:color w:val="000000" w:themeColor="text1"/>
          <w:sz w:val="20"/>
          <w:szCs w:val="20"/>
          <w:lang w:val="de-CH"/>
        </w:rPr>
        <w:t>____</w:t>
      </w:r>
    </w:p>
    <w:p w14:paraId="081A9F92" w14:textId="77777777" w:rsidR="007E6CC0" w:rsidRPr="002F1B9A" w:rsidRDefault="007E6CC0" w:rsidP="007E6CC0">
      <w:pPr>
        <w:rPr>
          <w:rFonts w:asciiTheme="minorHAnsi" w:hAnsiTheme="minorHAnsi" w:cs="Tahoma"/>
          <w:sz w:val="22"/>
          <w:szCs w:val="22"/>
          <w:lang w:val="de-CH"/>
        </w:rPr>
      </w:pPr>
    </w:p>
    <w:p w14:paraId="43647F5F" w14:textId="017730D0" w:rsidR="00D518C5" w:rsidRDefault="00D518C5" w:rsidP="00DE584F">
      <w:pPr>
        <w:pStyle w:val="Standaard1"/>
        <w:spacing w:line="240" w:lineRule="auto"/>
        <w:jc w:val="both"/>
        <w:rPr>
          <w:rStyle w:val="Hyperlink"/>
          <w:color w:val="000000" w:themeColor="text1"/>
          <w:sz w:val="18"/>
          <w:szCs w:val="18"/>
        </w:rPr>
      </w:pPr>
    </w:p>
    <w:p w14:paraId="7292DF00" w14:textId="77777777" w:rsidR="00D518C5" w:rsidRPr="002F1B9A" w:rsidRDefault="00D518C5" w:rsidP="00D518C5">
      <w:pPr>
        <w:rPr>
          <w:rFonts w:ascii="Arial" w:hAnsi="Arial" w:cs="Arial"/>
          <w:sz w:val="22"/>
          <w:szCs w:val="22"/>
          <w:u w:val="single"/>
          <w:lang w:val="de-CH"/>
        </w:rPr>
      </w:pPr>
      <w:r w:rsidRPr="002F1B9A">
        <w:rPr>
          <w:rFonts w:ascii="Arial" w:eastAsia="Arial" w:hAnsi="Arial" w:cs="Arial"/>
          <w:sz w:val="22"/>
          <w:szCs w:val="22"/>
          <w:u w:val="single"/>
          <w:lang w:val="de-CH"/>
        </w:rPr>
        <w:t>Pressekontakt Goodyear:</w:t>
      </w:r>
    </w:p>
    <w:p w14:paraId="0781FEB6" w14:textId="77777777" w:rsidR="00D518C5" w:rsidRPr="00A85057" w:rsidRDefault="00D518C5" w:rsidP="00A85057">
      <w:pPr>
        <w:spacing w:line="276" w:lineRule="auto"/>
        <w:jc w:val="both"/>
        <w:rPr>
          <w:rFonts w:ascii="Arial" w:eastAsia="Roboto" w:hAnsi="Arial" w:cs="Arial"/>
          <w:color w:val="000000" w:themeColor="text1"/>
          <w:lang w:val="de-CH" w:eastAsia="nl-NL"/>
        </w:rPr>
      </w:pPr>
      <w:r w:rsidRPr="00A85057">
        <w:rPr>
          <w:rFonts w:ascii="Arial" w:eastAsia="Roboto" w:hAnsi="Arial" w:cs="Arial"/>
          <w:color w:val="000000" w:themeColor="text1"/>
          <w:lang w:val="de-CH" w:eastAsia="nl-NL"/>
        </w:rPr>
        <w:t>Jean-Paul Bruck, Corporate &amp; Brand Communication Manager Luxembourg</w:t>
      </w:r>
    </w:p>
    <w:p w14:paraId="21153B66" w14:textId="77777777" w:rsidR="00D518C5" w:rsidRPr="002F1B9A" w:rsidRDefault="00D518C5" w:rsidP="00D518C5">
      <w:pPr>
        <w:pStyle w:val="Standaard1"/>
        <w:jc w:val="both"/>
        <w:rPr>
          <w:rFonts w:eastAsia="Roboto"/>
          <w:color w:val="auto"/>
          <w:lang w:val="de-CH"/>
        </w:rPr>
      </w:pPr>
      <w:r w:rsidRPr="00A85057">
        <w:rPr>
          <w:rFonts w:eastAsia="Roboto"/>
          <w:color w:val="auto"/>
          <w:lang w:val="fr-FR"/>
        </w:rPr>
        <w:sym w:font="Wingdings" w:char="F028"/>
      </w:r>
      <w:r w:rsidRPr="002F1B9A">
        <w:rPr>
          <w:rFonts w:eastAsia="Roboto"/>
          <w:color w:val="auto"/>
          <w:lang w:val="de-CH"/>
        </w:rPr>
        <w:t xml:space="preserve"> +352 8199-2294</w:t>
      </w:r>
    </w:p>
    <w:p w14:paraId="46948322" w14:textId="77777777" w:rsidR="00D518C5" w:rsidRPr="002F1B9A" w:rsidRDefault="00D518C5" w:rsidP="00D518C5">
      <w:pPr>
        <w:pStyle w:val="Standaard1"/>
        <w:jc w:val="both"/>
        <w:rPr>
          <w:rStyle w:val="Hyperlink"/>
          <w:color w:val="auto"/>
          <w:lang w:val="de-CH"/>
        </w:rPr>
      </w:pPr>
      <w:r w:rsidRPr="00A85057">
        <w:rPr>
          <w:rFonts w:eastAsia="Roboto"/>
          <w:color w:val="auto"/>
          <w:lang w:val="fr-FR"/>
        </w:rPr>
        <w:sym w:font="Wingdings" w:char="F02A"/>
      </w:r>
      <w:r w:rsidRPr="002F1B9A">
        <w:rPr>
          <w:rFonts w:eastAsia="Roboto"/>
          <w:color w:val="auto"/>
          <w:lang w:val="de-CH"/>
        </w:rPr>
        <w:t xml:space="preserve"> </w:t>
      </w:r>
      <w:r w:rsidRPr="002F1B9A">
        <w:rPr>
          <w:rStyle w:val="Hyperlink"/>
          <w:color w:val="auto"/>
          <w:lang w:val="de-CH"/>
        </w:rPr>
        <w:t>jean-paul.bruck@goodyear.com</w:t>
      </w:r>
    </w:p>
    <w:p w14:paraId="4A778957" w14:textId="77777777" w:rsidR="00D518C5" w:rsidRPr="002F1B9A" w:rsidRDefault="00D518C5" w:rsidP="00D518C5">
      <w:pPr>
        <w:rPr>
          <w:rFonts w:asciiTheme="minorHAnsi" w:hAnsiTheme="minorHAnsi"/>
          <w:lang w:val="de-CH"/>
        </w:rPr>
      </w:pPr>
    </w:p>
    <w:p w14:paraId="66DCAE36" w14:textId="77777777" w:rsidR="00D518C5" w:rsidRPr="002F1B9A" w:rsidRDefault="00D518C5" w:rsidP="00D518C5">
      <w:pPr>
        <w:pStyle w:val="Standaard1"/>
        <w:jc w:val="both"/>
        <w:rPr>
          <w:rFonts w:asciiTheme="minorHAnsi" w:eastAsia="Roboto" w:hAnsiTheme="minorHAnsi"/>
          <w:color w:val="auto"/>
          <w:sz w:val="20"/>
          <w:szCs w:val="20"/>
          <w:lang w:val="de-CH"/>
        </w:rPr>
      </w:pPr>
    </w:p>
    <w:p w14:paraId="3B144521" w14:textId="77777777" w:rsidR="00D518C5" w:rsidRDefault="00D518C5" w:rsidP="00D518C5">
      <w:pPr>
        <w:pStyle w:val="Standaard1"/>
        <w:jc w:val="both"/>
        <w:rPr>
          <w:rStyle w:val="Hyperlink"/>
          <w:rFonts w:eastAsia="Roboto"/>
          <w:color w:val="000000" w:themeColor="text1"/>
          <w:sz w:val="18"/>
          <w:szCs w:val="18"/>
        </w:rPr>
      </w:pPr>
    </w:p>
    <w:p w14:paraId="13ACD1F7" w14:textId="77777777" w:rsidR="00D518C5" w:rsidRPr="002F1B9A" w:rsidRDefault="00D518C5" w:rsidP="00D518C5">
      <w:pPr>
        <w:pStyle w:val="Standaard1"/>
        <w:jc w:val="both"/>
        <w:rPr>
          <w:rFonts w:eastAsia="Roboto"/>
          <w:b/>
          <w:color w:val="000000" w:themeColor="text1"/>
          <w:sz w:val="18"/>
          <w:szCs w:val="18"/>
          <w:lang w:val="de-CH"/>
        </w:rPr>
      </w:pPr>
      <w:r w:rsidRPr="002F1B9A">
        <w:rPr>
          <w:rFonts w:eastAsia="Roboto"/>
          <w:b/>
          <w:color w:val="000000" w:themeColor="text1"/>
          <w:sz w:val="18"/>
          <w:szCs w:val="18"/>
          <w:lang w:val="de-CH"/>
        </w:rPr>
        <w:t>Über Goodyear</w:t>
      </w:r>
    </w:p>
    <w:p w14:paraId="67FFB570" w14:textId="77777777" w:rsidR="00D518C5" w:rsidRPr="00FA7494" w:rsidRDefault="00D518C5" w:rsidP="00D518C5">
      <w:pPr>
        <w:pStyle w:val="Standaard1"/>
        <w:jc w:val="both"/>
        <w:rPr>
          <w:rFonts w:eastAsia="Roboto"/>
          <w:color w:val="7F7F7F"/>
          <w:sz w:val="20"/>
          <w:szCs w:val="20"/>
          <w:lang w:val="de-DE"/>
        </w:rPr>
      </w:pPr>
      <w:r w:rsidRPr="00D518C5">
        <w:rPr>
          <w:rFonts w:eastAsia="Roboto"/>
          <w:color w:val="000000" w:themeColor="text1"/>
          <w:sz w:val="18"/>
          <w:szCs w:val="18"/>
          <w:lang w:val="de-CH"/>
        </w:rPr>
        <w:t>Goodyear ist einer der bedeutendsten Reifenhersteller weltweit. Er beschäftigt rund 66.000 Mitarbeiter und stellt seine Produkte in 48 Standorten in 21 Ländern auf der ganzen Welt her. In den beiden Innovationszentren in Akron, Ohio und Colmar-Berg, Luxemburg, werden hochmoderne Produkte und Dienstleistungen entwickelt, welche maßgebend für die Technologie und die Leistungsstandards in der Industrie sind. Für mehr Informationen über Goodyear und seine Produkte siehe:</w:t>
      </w:r>
      <w:r w:rsidRPr="00FA7494">
        <w:rPr>
          <w:color w:val="2F5496"/>
          <w:sz w:val="20"/>
          <w:szCs w:val="20"/>
          <w:lang w:val="de-DE"/>
        </w:rPr>
        <w:t xml:space="preserve"> </w:t>
      </w:r>
      <w:r w:rsidRPr="00A53697">
        <w:rPr>
          <w:rStyle w:val="Hyperlink"/>
          <w:rFonts w:eastAsia="Roboto"/>
          <w:color w:val="000000" w:themeColor="text1"/>
          <w:sz w:val="18"/>
          <w:szCs w:val="18"/>
        </w:rPr>
        <w:t>http://www.goodyear.eu/corporate_emea/.</w:t>
      </w:r>
    </w:p>
    <w:p w14:paraId="57E0792E" w14:textId="77777777" w:rsidR="00D518C5" w:rsidRPr="00A53697" w:rsidRDefault="00D518C5" w:rsidP="00D518C5">
      <w:pPr>
        <w:pStyle w:val="Standaard1"/>
        <w:jc w:val="both"/>
        <w:rPr>
          <w:rFonts w:eastAsia="Roboto"/>
          <w:color w:val="000000" w:themeColor="text1"/>
          <w:sz w:val="18"/>
          <w:szCs w:val="18"/>
          <w:lang w:val="de-DE"/>
        </w:rPr>
      </w:pPr>
    </w:p>
    <w:p w14:paraId="5995BE57" w14:textId="77777777" w:rsidR="00D518C5" w:rsidRPr="00A53697" w:rsidRDefault="00D518C5" w:rsidP="00D518C5">
      <w:pPr>
        <w:pStyle w:val="Standaard1"/>
        <w:jc w:val="both"/>
        <w:rPr>
          <w:rFonts w:eastAsia="Roboto"/>
          <w:color w:val="000000" w:themeColor="text1"/>
          <w:sz w:val="18"/>
          <w:szCs w:val="18"/>
          <w:lang w:val="de-CH"/>
        </w:rPr>
      </w:pPr>
    </w:p>
    <w:p w14:paraId="60B3E745" w14:textId="77777777" w:rsidR="00D518C5" w:rsidRPr="00A53697" w:rsidRDefault="00D518C5" w:rsidP="00D518C5">
      <w:pPr>
        <w:pStyle w:val="Standaard1"/>
        <w:jc w:val="both"/>
        <w:rPr>
          <w:rFonts w:eastAsia="Roboto"/>
          <w:b/>
          <w:color w:val="000000" w:themeColor="text1"/>
          <w:sz w:val="18"/>
          <w:szCs w:val="18"/>
          <w:lang w:val="de-CH"/>
        </w:rPr>
      </w:pPr>
      <w:r w:rsidRPr="00A53697">
        <w:rPr>
          <w:rFonts w:eastAsia="Roboto"/>
          <w:b/>
          <w:color w:val="000000" w:themeColor="text1"/>
          <w:sz w:val="18"/>
          <w:szCs w:val="18"/>
          <w:lang w:val="de-CH"/>
        </w:rPr>
        <w:t>Über FELIX GIORGETTI</w:t>
      </w:r>
    </w:p>
    <w:p w14:paraId="70BC2FD5" w14:textId="77777777" w:rsidR="00D518C5" w:rsidRPr="00D518C5" w:rsidRDefault="00D518C5" w:rsidP="00D518C5">
      <w:pPr>
        <w:pStyle w:val="Standaard1"/>
        <w:jc w:val="both"/>
        <w:rPr>
          <w:rFonts w:eastAsia="Roboto"/>
          <w:color w:val="000000" w:themeColor="text1"/>
          <w:sz w:val="18"/>
          <w:szCs w:val="18"/>
          <w:lang w:val="de-CH"/>
        </w:rPr>
      </w:pPr>
      <w:r w:rsidRPr="00D518C5">
        <w:rPr>
          <w:rFonts w:eastAsia="Roboto"/>
          <w:color w:val="000000" w:themeColor="text1"/>
          <w:sz w:val="18"/>
          <w:szCs w:val="18"/>
          <w:lang w:val="de-CH"/>
        </w:rPr>
        <w:t>Das Familienunternehmen Félix Giorgetti, das von den Brüdern Paul und Marc GIORGETTI geführt wird, ist ein bedeutender Akteur im Bauwesen im Großherzogtum. Die Aktivitäten des Unternehmens decken alle Bauarbeiten und enthalten unter anderem: Straßen- und Hochbau, Öffentliche Gebäude, Verwaltungsgebäude, Handels- und Industriegebäude und der Bau von Wohnkomplexen und Einfamilienhäusern. </w:t>
      </w:r>
    </w:p>
    <w:p w14:paraId="7E84028D" w14:textId="77777777" w:rsidR="00D518C5" w:rsidRPr="00FA7494" w:rsidRDefault="00D518C5" w:rsidP="00D518C5">
      <w:pPr>
        <w:pStyle w:val="Standaard1"/>
        <w:jc w:val="both"/>
        <w:rPr>
          <w:rFonts w:eastAsia="Roboto"/>
          <w:color w:val="2F5496"/>
          <w:sz w:val="20"/>
          <w:szCs w:val="20"/>
          <w:lang w:val="de-DE"/>
        </w:rPr>
      </w:pPr>
      <w:r w:rsidRPr="00D518C5">
        <w:rPr>
          <w:rFonts w:eastAsia="Roboto"/>
          <w:color w:val="000000" w:themeColor="text1"/>
          <w:sz w:val="18"/>
          <w:szCs w:val="18"/>
          <w:lang w:val="de-CH"/>
        </w:rPr>
        <w:t>Für mehr Informationen siehe</w:t>
      </w:r>
      <w:r w:rsidRPr="00FA7494">
        <w:rPr>
          <w:color w:val="2F5496"/>
          <w:sz w:val="20"/>
          <w:szCs w:val="20"/>
          <w:lang w:val="de-DE"/>
        </w:rPr>
        <w:t xml:space="preserve"> </w:t>
      </w:r>
      <w:r w:rsidRPr="00FB6FB5">
        <w:rPr>
          <w:rStyle w:val="Hyperlink"/>
          <w:rFonts w:eastAsia="Roboto"/>
          <w:color w:val="000000" w:themeColor="text1"/>
          <w:sz w:val="18"/>
          <w:szCs w:val="18"/>
        </w:rPr>
        <w:t>www.gio.lu.</w:t>
      </w:r>
    </w:p>
    <w:p w14:paraId="2962C4F3" w14:textId="77777777" w:rsidR="00D518C5" w:rsidRPr="00A53697" w:rsidRDefault="00D518C5" w:rsidP="00D518C5">
      <w:pPr>
        <w:pStyle w:val="Standaard1"/>
        <w:jc w:val="both"/>
        <w:rPr>
          <w:rFonts w:eastAsia="Roboto"/>
          <w:color w:val="000000" w:themeColor="text1"/>
          <w:sz w:val="18"/>
          <w:szCs w:val="18"/>
          <w:lang w:val="de-DE"/>
        </w:rPr>
      </w:pPr>
    </w:p>
    <w:p w14:paraId="4D2A5D24" w14:textId="77777777" w:rsidR="00D518C5" w:rsidRPr="00A53697" w:rsidRDefault="00D518C5" w:rsidP="00D518C5">
      <w:pPr>
        <w:pStyle w:val="Standaard1"/>
        <w:jc w:val="both"/>
        <w:rPr>
          <w:rFonts w:eastAsia="Roboto"/>
          <w:b/>
          <w:color w:val="000000" w:themeColor="text1"/>
          <w:sz w:val="18"/>
          <w:szCs w:val="18"/>
          <w:lang w:val="de-CH"/>
        </w:rPr>
      </w:pPr>
    </w:p>
    <w:p w14:paraId="6D441720" w14:textId="77777777" w:rsidR="00D518C5" w:rsidRPr="00FB6FB5" w:rsidRDefault="00D518C5" w:rsidP="00D518C5">
      <w:pPr>
        <w:pStyle w:val="Standaard1"/>
        <w:jc w:val="both"/>
        <w:rPr>
          <w:rFonts w:eastAsia="Roboto"/>
          <w:b/>
          <w:color w:val="000000" w:themeColor="text1"/>
          <w:sz w:val="18"/>
          <w:szCs w:val="18"/>
          <w:lang w:val="de-CH"/>
        </w:rPr>
      </w:pPr>
      <w:r w:rsidRPr="00FB6FB5">
        <w:rPr>
          <w:rFonts w:eastAsia="Roboto"/>
          <w:b/>
          <w:color w:val="000000" w:themeColor="text1"/>
          <w:sz w:val="18"/>
          <w:szCs w:val="18"/>
          <w:lang w:val="de-CH"/>
        </w:rPr>
        <w:t>Über AG REAL ESTATE</w:t>
      </w:r>
    </w:p>
    <w:p w14:paraId="683819CA" w14:textId="77777777" w:rsidR="00D518C5" w:rsidRPr="00D518C5" w:rsidRDefault="00D518C5" w:rsidP="00D518C5">
      <w:pPr>
        <w:pStyle w:val="Standaard1"/>
        <w:jc w:val="both"/>
        <w:rPr>
          <w:rFonts w:eastAsia="Roboto"/>
          <w:color w:val="000000" w:themeColor="text1"/>
          <w:sz w:val="18"/>
          <w:szCs w:val="18"/>
          <w:lang w:val="de-CH"/>
        </w:rPr>
      </w:pPr>
      <w:r w:rsidRPr="00D518C5">
        <w:rPr>
          <w:rFonts w:eastAsia="Roboto"/>
          <w:color w:val="000000" w:themeColor="text1"/>
          <w:sz w:val="18"/>
          <w:szCs w:val="18"/>
          <w:lang w:val="de-CH"/>
        </w:rPr>
        <w:t xml:space="preserve">AG Real Estate, eine 100 %ige Tochtergesellschaft von AG Insurance ist in verschiedenen Sektoren des Immobilienbereichs tätig: Asset &amp; Property Management, Development &amp; Construction Management, PPP und Immobilienfinanzierung sowie im Car Park Management über die Tochtergesellschaft Interparking. AG Real Estate verfügt über ein Verwaltungsportfolio für eigene Rechnung und für Drittrechnung von mehr als 6 Milliarden Euro. </w:t>
      </w:r>
    </w:p>
    <w:p w14:paraId="4B423B44" w14:textId="77777777" w:rsidR="00D518C5" w:rsidRPr="00FA7494" w:rsidRDefault="00D518C5" w:rsidP="00D518C5">
      <w:pPr>
        <w:pStyle w:val="Standaard1"/>
        <w:jc w:val="both"/>
        <w:rPr>
          <w:rFonts w:eastAsia="Roboto"/>
          <w:color w:val="2F5496"/>
          <w:sz w:val="20"/>
          <w:szCs w:val="20"/>
          <w:lang w:val="de-DE"/>
        </w:rPr>
      </w:pPr>
      <w:r w:rsidRPr="00D518C5">
        <w:rPr>
          <w:rFonts w:eastAsia="Roboto"/>
          <w:color w:val="000000" w:themeColor="text1"/>
          <w:sz w:val="18"/>
          <w:szCs w:val="18"/>
          <w:lang w:val="de-CH"/>
        </w:rPr>
        <w:t xml:space="preserve">Für mehr Informationen siehe </w:t>
      </w:r>
      <w:hyperlink r:id="rId6" w:history="1">
        <w:r w:rsidRPr="00FB6FB5">
          <w:rPr>
            <w:rStyle w:val="Hyperlink"/>
            <w:rFonts w:eastAsia="Roboto"/>
            <w:color w:val="000000" w:themeColor="text1"/>
            <w:sz w:val="18"/>
            <w:szCs w:val="18"/>
          </w:rPr>
          <w:t>www.agrealestate.eu</w:t>
        </w:r>
      </w:hyperlink>
      <w:r w:rsidRPr="00FB6FB5">
        <w:rPr>
          <w:rStyle w:val="Hyperlink"/>
          <w:rFonts w:eastAsia="Roboto"/>
          <w:color w:val="000000" w:themeColor="text1"/>
          <w:sz w:val="18"/>
          <w:szCs w:val="18"/>
        </w:rPr>
        <w:t>.</w:t>
      </w:r>
    </w:p>
    <w:p w14:paraId="46E87439" w14:textId="77777777" w:rsidR="00D518C5" w:rsidRPr="00A53697" w:rsidRDefault="00D518C5" w:rsidP="00D518C5">
      <w:pPr>
        <w:pStyle w:val="Standaard1"/>
        <w:jc w:val="both"/>
        <w:rPr>
          <w:rFonts w:eastAsia="Roboto"/>
          <w:b/>
          <w:color w:val="000000" w:themeColor="text1"/>
          <w:sz w:val="18"/>
          <w:szCs w:val="18"/>
          <w:lang w:val="de-DE"/>
        </w:rPr>
      </w:pPr>
    </w:p>
    <w:p w14:paraId="5EBF8459" w14:textId="77777777" w:rsidR="00D518C5" w:rsidRPr="00FB6FB5" w:rsidRDefault="00D518C5" w:rsidP="00D518C5">
      <w:pPr>
        <w:pStyle w:val="Standaard1"/>
        <w:jc w:val="both"/>
        <w:rPr>
          <w:rFonts w:eastAsia="Roboto"/>
          <w:b/>
          <w:color w:val="000000" w:themeColor="text1"/>
          <w:sz w:val="18"/>
          <w:szCs w:val="18"/>
          <w:lang w:val="de-CH"/>
        </w:rPr>
      </w:pPr>
      <w:r w:rsidRPr="00FB6FB5">
        <w:rPr>
          <w:rFonts w:eastAsia="Roboto"/>
          <w:b/>
          <w:color w:val="000000" w:themeColor="text1"/>
          <w:sz w:val="18"/>
          <w:szCs w:val="18"/>
          <w:lang w:val="de-CH"/>
        </w:rPr>
        <w:t>Über ASSAR Universum Architects</w:t>
      </w:r>
    </w:p>
    <w:p w14:paraId="74453BC5" w14:textId="77777777" w:rsidR="00D518C5" w:rsidRPr="00D518C5" w:rsidRDefault="00D518C5" w:rsidP="00D518C5">
      <w:pPr>
        <w:pStyle w:val="Standaard1"/>
        <w:jc w:val="both"/>
        <w:rPr>
          <w:rFonts w:eastAsia="Roboto"/>
          <w:color w:val="000000" w:themeColor="text1"/>
          <w:sz w:val="18"/>
          <w:szCs w:val="18"/>
          <w:lang w:val="de-CH"/>
        </w:rPr>
      </w:pPr>
      <w:r w:rsidRPr="00D518C5">
        <w:rPr>
          <w:rFonts w:eastAsia="Roboto"/>
          <w:color w:val="000000" w:themeColor="text1"/>
          <w:sz w:val="18"/>
          <w:szCs w:val="18"/>
          <w:lang w:val="de-CH"/>
        </w:rPr>
        <w:t>Der Konzern ASSAR, hier vertreten durch ASSAR Universum Architects s.a., hat eine breite Erfahrung im Bereich der Drittarchitektur in Luxemburg und in anderen Ländern und beschäftigt heute mehr als 145 Personen.</w:t>
      </w:r>
    </w:p>
    <w:p w14:paraId="1F12F4EC" w14:textId="77777777" w:rsidR="00D518C5" w:rsidRPr="00D518C5" w:rsidRDefault="00D518C5" w:rsidP="00D518C5">
      <w:pPr>
        <w:pStyle w:val="Standaard1"/>
        <w:jc w:val="both"/>
        <w:rPr>
          <w:rFonts w:eastAsia="Roboto"/>
          <w:color w:val="000000" w:themeColor="text1"/>
          <w:sz w:val="18"/>
          <w:szCs w:val="18"/>
          <w:lang w:val="de-CH"/>
        </w:rPr>
      </w:pPr>
      <w:r w:rsidRPr="00D518C5">
        <w:rPr>
          <w:rFonts w:eastAsia="Roboto"/>
          <w:color w:val="000000" w:themeColor="text1"/>
          <w:sz w:val="18"/>
          <w:szCs w:val="18"/>
          <w:lang w:val="de-CH"/>
        </w:rPr>
        <w:t>ASSAR ist im Bereich der Verwaltungsgebäude, Pflege und Gesundheit, im Bereich der öffentlichen Gebäude und Ausrüstungen, im Bereich der Verteidigung und der kollektiven Wohnkomplexe tätig.</w:t>
      </w:r>
    </w:p>
    <w:p w14:paraId="354ABB0E" w14:textId="77777777" w:rsidR="00D518C5" w:rsidRPr="00FB6FB5" w:rsidRDefault="00D518C5" w:rsidP="00D518C5">
      <w:pPr>
        <w:pStyle w:val="Standaard1"/>
        <w:spacing w:line="240" w:lineRule="auto"/>
        <w:jc w:val="both"/>
        <w:rPr>
          <w:rFonts w:eastAsia="Roboto"/>
          <w:color w:val="auto"/>
          <w:sz w:val="18"/>
          <w:szCs w:val="18"/>
          <w:lang w:val="de-CH"/>
        </w:rPr>
      </w:pPr>
      <w:r w:rsidRPr="00D518C5">
        <w:rPr>
          <w:rFonts w:eastAsia="Roboto"/>
          <w:color w:val="000000" w:themeColor="text1"/>
          <w:sz w:val="18"/>
          <w:szCs w:val="18"/>
          <w:lang w:val="de-CH"/>
        </w:rPr>
        <w:t xml:space="preserve">Für mehr Informationen siehe </w:t>
      </w:r>
      <w:hyperlink r:id="rId7" w:history="1">
        <w:r w:rsidRPr="00FB6FB5">
          <w:rPr>
            <w:rStyle w:val="Hyperlink"/>
            <w:rFonts w:eastAsia="Roboto"/>
            <w:color w:val="000000" w:themeColor="text1"/>
            <w:sz w:val="18"/>
            <w:szCs w:val="18"/>
          </w:rPr>
          <w:t>www.assar-universum.lu</w:t>
        </w:r>
      </w:hyperlink>
    </w:p>
    <w:p w14:paraId="5498521C" w14:textId="77777777" w:rsidR="00D518C5" w:rsidRPr="00D518C5" w:rsidRDefault="00D518C5" w:rsidP="00DE584F">
      <w:pPr>
        <w:pStyle w:val="Standaard1"/>
        <w:spacing w:line="240" w:lineRule="auto"/>
        <w:jc w:val="both"/>
        <w:rPr>
          <w:rFonts w:eastAsia="Roboto"/>
          <w:color w:val="auto"/>
          <w:sz w:val="18"/>
          <w:szCs w:val="18"/>
          <w:lang w:val="de-CH"/>
        </w:rPr>
      </w:pPr>
    </w:p>
    <w:sectPr w:rsidR="00D518C5" w:rsidRPr="00D518C5" w:rsidSect="00300544">
      <w:pgSz w:w="12240" w:h="15840"/>
      <w:pgMar w:top="900" w:right="1417" w:bottom="1276"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C0"/>
    <w:rsid w:val="000127B6"/>
    <w:rsid w:val="0002174A"/>
    <w:rsid w:val="000413E4"/>
    <w:rsid w:val="000632A6"/>
    <w:rsid w:val="000F5EFF"/>
    <w:rsid w:val="00165018"/>
    <w:rsid w:val="002078A3"/>
    <w:rsid w:val="002F1B9A"/>
    <w:rsid w:val="00300544"/>
    <w:rsid w:val="004E2AF1"/>
    <w:rsid w:val="005A77CA"/>
    <w:rsid w:val="00644A33"/>
    <w:rsid w:val="006A1A99"/>
    <w:rsid w:val="00721A72"/>
    <w:rsid w:val="007B7950"/>
    <w:rsid w:val="007E6CC0"/>
    <w:rsid w:val="00843BAB"/>
    <w:rsid w:val="008A0537"/>
    <w:rsid w:val="00925E3D"/>
    <w:rsid w:val="009619F1"/>
    <w:rsid w:val="00A369E0"/>
    <w:rsid w:val="00A85057"/>
    <w:rsid w:val="00AD1A4E"/>
    <w:rsid w:val="00B72AE1"/>
    <w:rsid w:val="00BD60FE"/>
    <w:rsid w:val="00C96BCB"/>
    <w:rsid w:val="00CE09D0"/>
    <w:rsid w:val="00CE7E46"/>
    <w:rsid w:val="00CF3365"/>
    <w:rsid w:val="00D01A96"/>
    <w:rsid w:val="00D518C5"/>
    <w:rsid w:val="00D77E56"/>
    <w:rsid w:val="00DE584F"/>
    <w:rsid w:val="00E44680"/>
    <w:rsid w:val="00E47C36"/>
    <w:rsid w:val="00F9004A"/>
    <w:rsid w:val="00FD1EBE"/>
    <w:rsid w:val="00FE5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3E302"/>
  <w15:chartTrackingRefBased/>
  <w15:docId w15:val="{F15BBF2F-72AE-4026-87BA-A35FC007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6CC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7950"/>
    <w:rPr>
      <w:sz w:val="16"/>
      <w:szCs w:val="16"/>
    </w:rPr>
  </w:style>
  <w:style w:type="paragraph" w:styleId="CommentText">
    <w:name w:val="annotation text"/>
    <w:basedOn w:val="Normal"/>
    <w:link w:val="CommentTextChar"/>
    <w:uiPriority w:val="99"/>
    <w:semiHidden/>
    <w:unhideWhenUsed/>
    <w:rsid w:val="007B7950"/>
  </w:style>
  <w:style w:type="character" w:customStyle="1" w:styleId="CommentTextChar">
    <w:name w:val="Comment Text Char"/>
    <w:basedOn w:val="DefaultParagraphFont"/>
    <w:link w:val="CommentText"/>
    <w:uiPriority w:val="99"/>
    <w:semiHidden/>
    <w:rsid w:val="007B79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7950"/>
    <w:rPr>
      <w:b/>
      <w:bCs/>
    </w:rPr>
  </w:style>
  <w:style w:type="character" w:customStyle="1" w:styleId="CommentSubjectChar">
    <w:name w:val="Comment Subject Char"/>
    <w:basedOn w:val="CommentTextChar"/>
    <w:link w:val="CommentSubject"/>
    <w:uiPriority w:val="99"/>
    <w:semiHidden/>
    <w:rsid w:val="007B795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B79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950"/>
    <w:rPr>
      <w:rFonts w:ascii="Segoe UI" w:eastAsia="Times New Roman" w:hAnsi="Segoe UI" w:cs="Segoe UI"/>
      <w:sz w:val="18"/>
      <w:szCs w:val="18"/>
    </w:rPr>
  </w:style>
  <w:style w:type="character" w:customStyle="1" w:styleId="st1">
    <w:name w:val="st1"/>
    <w:basedOn w:val="DefaultParagraphFont"/>
    <w:rsid w:val="00F9004A"/>
  </w:style>
  <w:style w:type="character" w:styleId="Hyperlink">
    <w:name w:val="Hyperlink"/>
    <w:basedOn w:val="DefaultParagraphFont"/>
    <w:uiPriority w:val="99"/>
    <w:unhideWhenUsed/>
    <w:rsid w:val="008A0537"/>
    <w:rPr>
      <w:color w:val="0563C1" w:themeColor="hyperlink"/>
      <w:u w:val="single"/>
    </w:rPr>
  </w:style>
  <w:style w:type="paragraph" w:customStyle="1" w:styleId="Standaard1">
    <w:name w:val="Standaard1"/>
    <w:rsid w:val="008A0537"/>
    <w:pPr>
      <w:spacing w:after="0" w:line="276" w:lineRule="auto"/>
    </w:pPr>
    <w:rPr>
      <w:rFonts w:ascii="Arial" w:eastAsia="Arial" w:hAnsi="Arial" w:cs="Arial"/>
      <w:color w:val="000000"/>
      <w:lang w:val="nl-BE" w:eastAsia="nl-NL"/>
    </w:rPr>
  </w:style>
  <w:style w:type="character" w:styleId="FollowedHyperlink">
    <w:name w:val="FollowedHyperlink"/>
    <w:basedOn w:val="DefaultParagraphFont"/>
    <w:uiPriority w:val="99"/>
    <w:semiHidden/>
    <w:unhideWhenUsed/>
    <w:rsid w:val="008A05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91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ssar-universum.l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realestate.eu" TargetMode="External"/><Relationship Id="rId5" Type="http://schemas.openxmlformats.org/officeDocument/2006/relationships/image" Target="media/image10.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598</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Greet Willekens</dc:creator>
  <cp:keywords/>
  <dc:description/>
  <cp:lastModifiedBy>Jean-Paul Bruck</cp:lastModifiedBy>
  <cp:revision>8</cp:revision>
  <cp:lastPrinted>2017-07-04T08:21:00Z</cp:lastPrinted>
  <dcterms:created xsi:type="dcterms:W3CDTF">2017-07-04T06:52:00Z</dcterms:created>
  <dcterms:modified xsi:type="dcterms:W3CDTF">2017-07-04T11:37:00Z</dcterms:modified>
</cp:coreProperties>
</file>