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5100" w14:textId="77777777" w:rsidR="00060ED0" w:rsidRPr="00492337" w:rsidRDefault="003914A2" w:rsidP="00DA3CE8">
      <w:pPr>
        <w:pStyle w:val="Heading1"/>
        <w:jc w:val="center"/>
        <w:rPr>
          <w:rFonts w:ascii="Arial" w:hAnsi="Arial" w:cs="Arial"/>
          <w:b/>
          <w:color w:val="1F497D"/>
          <w:sz w:val="42"/>
          <w:szCs w:val="42"/>
        </w:rPr>
      </w:pPr>
      <w:r>
        <w:rPr>
          <w:rFonts w:ascii="Arial" w:hAnsi="Arial"/>
          <w:b/>
          <w:color w:val="1F497D"/>
          <w:sz w:val="42"/>
        </w:rPr>
        <w:t>Goodyear demonstrē autonomo transportlīdzekļu</w:t>
      </w:r>
      <w:r w:rsidR="00DA3CE8">
        <w:rPr>
          <w:rFonts w:ascii="Arial" w:hAnsi="Arial"/>
          <w:b/>
          <w:color w:val="1F497D"/>
          <w:sz w:val="42"/>
        </w:rPr>
        <w:t xml:space="preserve"> </w:t>
      </w:r>
      <w:r>
        <w:rPr>
          <w:rFonts w:ascii="Arial" w:hAnsi="Arial"/>
          <w:b/>
          <w:color w:val="1F497D"/>
          <w:sz w:val="42"/>
        </w:rPr>
        <w:t>riepu ar uzlabotu sensora tehnoloģiju</w:t>
      </w:r>
    </w:p>
    <w:p w14:paraId="7A232FC2" w14:textId="77777777" w:rsidR="00492337" w:rsidRPr="00492337" w:rsidRDefault="00492337" w:rsidP="00492337">
      <w:pPr>
        <w:spacing w:line="360" w:lineRule="auto"/>
        <w:rPr>
          <w:color w:val="767171" w:themeColor="background2" w:themeShade="80"/>
        </w:rPr>
      </w:pPr>
    </w:p>
    <w:p w14:paraId="32EC1F9C" w14:textId="77777777" w:rsidR="00F205D5" w:rsidRPr="001C4ED9" w:rsidRDefault="008E3942" w:rsidP="00DA3CE8">
      <w:pPr>
        <w:spacing w:line="360" w:lineRule="auto"/>
        <w:jc w:val="center"/>
        <w:rPr>
          <w:rFonts w:ascii="Arial" w:hAnsi="Arial" w:cs="Arial"/>
          <w:color w:val="767171" w:themeColor="background2" w:themeShade="80"/>
          <w:sz w:val="28"/>
          <w:szCs w:val="28"/>
        </w:rPr>
      </w:pPr>
      <w:r>
        <w:rPr>
          <w:rFonts w:ascii="Arial" w:hAnsi="Arial"/>
          <w:color w:val="767171" w:themeColor="background2" w:themeShade="80"/>
          <w:sz w:val="28"/>
        </w:rPr>
        <w:t xml:space="preserve">IntelliGrip var uzlabot autonomo transportlīdzekļu drošību </w:t>
      </w:r>
      <w:r w:rsidR="00BB7321">
        <w:rPr>
          <w:rFonts w:ascii="Arial" w:hAnsi="Arial"/>
          <w:color w:val="767171" w:themeColor="background2" w:themeShade="80"/>
          <w:sz w:val="28"/>
        </w:rPr>
        <w:t xml:space="preserve">gan </w:t>
      </w:r>
      <w:r>
        <w:rPr>
          <w:rFonts w:ascii="Arial" w:hAnsi="Arial"/>
          <w:color w:val="767171" w:themeColor="background2" w:themeShade="80"/>
          <w:sz w:val="28"/>
        </w:rPr>
        <w:t>autovadītājiem</w:t>
      </w:r>
      <w:r w:rsidR="00BB7321">
        <w:rPr>
          <w:rFonts w:ascii="Arial" w:hAnsi="Arial"/>
          <w:color w:val="767171" w:themeColor="background2" w:themeShade="80"/>
          <w:sz w:val="28"/>
        </w:rPr>
        <w:t>, gan</w:t>
      </w:r>
      <w:r w:rsidR="00A35E65">
        <w:rPr>
          <w:rFonts w:ascii="Arial" w:hAnsi="Arial"/>
          <w:color w:val="767171" w:themeColor="background2" w:themeShade="80"/>
          <w:sz w:val="28"/>
        </w:rPr>
        <w:t xml:space="preserve"> </w:t>
      </w:r>
      <w:r>
        <w:rPr>
          <w:rFonts w:ascii="Arial" w:hAnsi="Arial"/>
          <w:color w:val="767171" w:themeColor="background2" w:themeShade="80"/>
          <w:sz w:val="28"/>
        </w:rPr>
        <w:t>gājējiem</w:t>
      </w:r>
    </w:p>
    <w:p w14:paraId="27858083" w14:textId="77777777" w:rsidR="00F205D5" w:rsidRPr="00F205D5" w:rsidRDefault="00F205D5" w:rsidP="00F205D5">
      <w:pPr>
        <w:spacing w:line="360" w:lineRule="auto"/>
        <w:ind w:left="720"/>
        <w:rPr>
          <w:rFonts w:ascii="Arial" w:hAnsi="Arial" w:cs="Arial"/>
          <w:sz w:val="22"/>
          <w:szCs w:val="22"/>
        </w:rPr>
      </w:pPr>
    </w:p>
    <w:p w14:paraId="479FD717" w14:textId="374CC7D3" w:rsidR="003602A9" w:rsidRDefault="00371B8B" w:rsidP="0062453B">
      <w:pPr>
        <w:spacing w:line="360" w:lineRule="auto"/>
        <w:rPr>
          <w:rFonts w:ascii="Arial" w:hAnsi="Arial" w:cs="Arial"/>
          <w:sz w:val="22"/>
          <w:szCs w:val="22"/>
        </w:rPr>
      </w:pPr>
      <w:r>
        <w:rPr>
          <w:rFonts w:ascii="Arial" w:hAnsi="Arial"/>
          <w:b/>
          <w:sz w:val="22"/>
        </w:rPr>
        <w:t>Ženēv</w:t>
      </w:r>
      <w:r w:rsidR="0087005F">
        <w:rPr>
          <w:rFonts w:ascii="Arial" w:hAnsi="Arial"/>
          <w:b/>
          <w:sz w:val="22"/>
        </w:rPr>
        <w:t xml:space="preserve">a, Šveice, 2016. gada 1. marts. </w:t>
      </w:r>
      <w:r>
        <w:rPr>
          <w:rFonts w:ascii="Arial" w:hAnsi="Arial"/>
          <w:sz w:val="22"/>
        </w:rPr>
        <w:t xml:space="preserve">Šodien Ženēvas starptautiskajā auto izstādē Goodyear </w:t>
      </w:r>
      <w:r w:rsidR="00BB7321">
        <w:rPr>
          <w:rFonts w:ascii="Arial" w:hAnsi="Arial"/>
          <w:sz w:val="22"/>
        </w:rPr>
        <w:t>prezentēja</w:t>
      </w:r>
      <w:r>
        <w:rPr>
          <w:rFonts w:ascii="Arial" w:hAnsi="Arial"/>
          <w:sz w:val="22"/>
        </w:rPr>
        <w:t xml:space="preserve"> redzējumu par riepām, kas atbalsta </w:t>
      </w:r>
      <w:r w:rsidR="00BB7321">
        <w:rPr>
          <w:rFonts w:ascii="Arial" w:hAnsi="Arial"/>
          <w:sz w:val="22"/>
        </w:rPr>
        <w:t xml:space="preserve">pirmos </w:t>
      </w:r>
      <w:r>
        <w:rPr>
          <w:rFonts w:ascii="Arial" w:hAnsi="Arial"/>
          <w:sz w:val="22"/>
        </w:rPr>
        <w:t xml:space="preserve">autonomos transportlīdzekļus. Goodyear IntelliGrip riepa ar </w:t>
      </w:r>
      <w:r w:rsidR="00A35E65">
        <w:rPr>
          <w:rFonts w:ascii="Arial" w:hAnsi="Arial"/>
          <w:sz w:val="22"/>
        </w:rPr>
        <w:t xml:space="preserve">progresīvo sensoru </w:t>
      </w:r>
      <w:r>
        <w:rPr>
          <w:rFonts w:ascii="Arial" w:hAnsi="Arial"/>
          <w:sz w:val="22"/>
        </w:rPr>
        <w:t>tehnoloģiju izstrādāta autonom</w:t>
      </w:r>
      <w:r w:rsidR="00A35E65">
        <w:rPr>
          <w:rFonts w:ascii="Arial" w:hAnsi="Arial"/>
          <w:sz w:val="22"/>
        </w:rPr>
        <w:t>o</w:t>
      </w:r>
      <w:r>
        <w:rPr>
          <w:rFonts w:ascii="Arial" w:hAnsi="Arial"/>
          <w:sz w:val="22"/>
        </w:rPr>
        <w:t xml:space="preserve"> transportlīdzekļu vadības sistēm</w:t>
      </w:r>
      <w:r w:rsidR="00BB7321">
        <w:rPr>
          <w:rFonts w:ascii="Arial" w:hAnsi="Arial"/>
          <w:sz w:val="22"/>
        </w:rPr>
        <w:t>ai</w:t>
      </w:r>
      <w:r>
        <w:rPr>
          <w:rFonts w:ascii="Arial" w:hAnsi="Arial"/>
          <w:sz w:val="22"/>
        </w:rPr>
        <w:t xml:space="preserve">. </w:t>
      </w:r>
      <w:r w:rsidR="00BB7321">
        <w:rPr>
          <w:rFonts w:ascii="Arial" w:hAnsi="Arial"/>
          <w:sz w:val="22"/>
        </w:rPr>
        <w:t>A</w:t>
      </w:r>
      <w:r>
        <w:rPr>
          <w:rFonts w:ascii="Arial" w:hAnsi="Arial"/>
          <w:sz w:val="22"/>
        </w:rPr>
        <w:t xml:space="preserve">utonomie </w:t>
      </w:r>
      <w:r w:rsidR="00BB7321">
        <w:rPr>
          <w:rFonts w:ascii="Arial" w:hAnsi="Arial"/>
          <w:sz w:val="22"/>
        </w:rPr>
        <w:t xml:space="preserve">auto </w:t>
      </w:r>
      <w:r>
        <w:rPr>
          <w:rFonts w:ascii="Arial" w:hAnsi="Arial"/>
          <w:sz w:val="22"/>
        </w:rPr>
        <w:t xml:space="preserve"> paļaujas uz datiem</w:t>
      </w:r>
      <w:r w:rsidR="00BB7321">
        <w:rPr>
          <w:rFonts w:ascii="Arial" w:hAnsi="Arial"/>
          <w:sz w:val="22"/>
        </w:rPr>
        <w:t xml:space="preserve"> </w:t>
      </w:r>
      <w:r>
        <w:rPr>
          <w:rFonts w:ascii="Arial" w:hAnsi="Arial"/>
          <w:sz w:val="22"/>
        </w:rPr>
        <w:t xml:space="preserve">no citiem transportlīdzekļiem, autovadītājiem, gājējiem un </w:t>
      </w:r>
      <w:r w:rsidR="00BB7321">
        <w:rPr>
          <w:rFonts w:ascii="Arial" w:hAnsi="Arial"/>
          <w:sz w:val="22"/>
        </w:rPr>
        <w:t>“</w:t>
      </w:r>
      <w:r>
        <w:rPr>
          <w:rFonts w:ascii="Arial" w:hAnsi="Arial"/>
          <w:sz w:val="22"/>
        </w:rPr>
        <w:t>viedajām</w:t>
      </w:r>
      <w:r w:rsidR="00BB7321">
        <w:rPr>
          <w:rFonts w:ascii="Arial" w:hAnsi="Arial"/>
          <w:sz w:val="22"/>
        </w:rPr>
        <w:t>”</w:t>
      </w:r>
      <w:r>
        <w:rPr>
          <w:rFonts w:ascii="Arial" w:hAnsi="Arial"/>
          <w:sz w:val="22"/>
        </w:rPr>
        <w:t xml:space="preserve"> pilsētām</w:t>
      </w:r>
      <w:r w:rsidR="00BB7321">
        <w:rPr>
          <w:rFonts w:ascii="Arial" w:hAnsi="Arial"/>
          <w:sz w:val="22"/>
        </w:rPr>
        <w:t xml:space="preserve"> un</w:t>
      </w:r>
      <w:r>
        <w:rPr>
          <w:rFonts w:ascii="Arial" w:hAnsi="Arial"/>
          <w:sz w:val="22"/>
        </w:rPr>
        <w:t xml:space="preserve"> riepām, piemēram, Goodyear IntelliGrip </w:t>
      </w:r>
      <w:r w:rsidR="00BB7321">
        <w:rPr>
          <w:rFonts w:ascii="Arial" w:hAnsi="Arial"/>
          <w:sz w:val="22"/>
        </w:rPr>
        <w:t>riep</w:t>
      </w:r>
      <w:r w:rsidR="00A35E65">
        <w:rPr>
          <w:rFonts w:ascii="Arial" w:hAnsi="Arial"/>
          <w:sz w:val="22"/>
        </w:rPr>
        <w:t>u</w:t>
      </w:r>
      <w:r>
        <w:rPr>
          <w:rFonts w:ascii="Arial" w:hAnsi="Arial"/>
          <w:sz w:val="22"/>
        </w:rPr>
        <w:t xml:space="preserve">, </w:t>
      </w:r>
      <w:r w:rsidR="00BB7321">
        <w:rPr>
          <w:rFonts w:ascii="Arial" w:hAnsi="Arial"/>
          <w:sz w:val="22"/>
        </w:rPr>
        <w:t xml:space="preserve">līdz ar to </w:t>
      </w:r>
      <w:r>
        <w:rPr>
          <w:rFonts w:ascii="Arial" w:hAnsi="Arial"/>
          <w:sz w:val="22"/>
        </w:rPr>
        <w:t>informācijas apmaiņ</w:t>
      </w:r>
      <w:r w:rsidR="00BB7321">
        <w:rPr>
          <w:rFonts w:ascii="Arial" w:hAnsi="Arial"/>
          <w:sz w:val="22"/>
        </w:rPr>
        <w:t>ai ir ārkārtīgi būtiska loma.</w:t>
      </w:r>
    </w:p>
    <w:p w14:paraId="5A0B5B5B" w14:textId="77777777" w:rsidR="00507072" w:rsidRDefault="00507072" w:rsidP="0062453B">
      <w:pPr>
        <w:spacing w:line="360" w:lineRule="auto"/>
        <w:ind w:firstLine="708"/>
        <w:rPr>
          <w:rFonts w:ascii="Arial" w:hAnsi="Arial" w:cs="Arial"/>
          <w:sz w:val="22"/>
          <w:szCs w:val="22"/>
        </w:rPr>
      </w:pPr>
      <w:r>
        <w:rPr>
          <w:rFonts w:ascii="Arial" w:hAnsi="Arial"/>
          <w:sz w:val="22"/>
        </w:rPr>
        <w:t>Kā konstatēts pasaules ekonomikas foruma pētījumā, pilsētās autonomo transportlīdzekļu ieviešana paredzama tuvāko 10 gadu laikā</w:t>
      </w:r>
      <w:r>
        <w:rPr>
          <w:rStyle w:val="FootnoteReference"/>
          <w:rFonts w:ascii="Arial" w:hAnsi="Arial"/>
          <w:sz w:val="22"/>
        </w:rPr>
        <w:footnoteReference w:id="1"/>
      </w:r>
      <w:r>
        <w:rPr>
          <w:rFonts w:ascii="Arial" w:hAnsi="Arial"/>
          <w:sz w:val="22"/>
        </w:rPr>
        <w:t>. Turklāt J.D. Power 2015 U.S. Tech Choice pētījumā</w:t>
      </w:r>
      <w:r>
        <w:rPr>
          <w:rStyle w:val="FootnoteReference"/>
          <w:rFonts w:ascii="Arial" w:hAnsi="Arial"/>
          <w:sz w:val="22"/>
        </w:rPr>
        <w:footnoteReference w:id="2"/>
      </w:r>
      <w:r>
        <w:rPr>
          <w:rFonts w:ascii="Arial" w:hAnsi="Arial"/>
          <w:sz w:val="22"/>
        </w:rPr>
        <w:t xml:space="preserve"> secināts, ka automobiļu nozares izmaiņu sākumposmā patērētāji par svarīgāko uzskata </w:t>
      </w:r>
      <w:r w:rsidR="00BB7321">
        <w:rPr>
          <w:rFonts w:ascii="Arial" w:hAnsi="Arial"/>
          <w:sz w:val="22"/>
        </w:rPr>
        <w:t xml:space="preserve">tieši </w:t>
      </w:r>
      <w:r>
        <w:rPr>
          <w:rFonts w:ascii="Arial" w:hAnsi="Arial"/>
          <w:sz w:val="22"/>
        </w:rPr>
        <w:t xml:space="preserve">tehnoloģiju, kas </w:t>
      </w:r>
      <w:r w:rsidR="00A35E65">
        <w:rPr>
          <w:rFonts w:ascii="Arial" w:hAnsi="Arial"/>
          <w:sz w:val="22"/>
        </w:rPr>
        <w:t>palīdz izvairīties no</w:t>
      </w:r>
      <w:r>
        <w:rPr>
          <w:rFonts w:ascii="Arial" w:hAnsi="Arial"/>
          <w:sz w:val="22"/>
        </w:rPr>
        <w:t xml:space="preserve"> sadursm</w:t>
      </w:r>
      <w:r w:rsidR="00A35E65">
        <w:rPr>
          <w:rFonts w:ascii="Arial" w:hAnsi="Arial"/>
          <w:sz w:val="22"/>
        </w:rPr>
        <w:t>es</w:t>
      </w:r>
      <w:r>
        <w:rPr>
          <w:rFonts w:ascii="Arial" w:hAnsi="Arial"/>
          <w:sz w:val="22"/>
        </w:rPr>
        <w:t xml:space="preserve">. </w:t>
      </w:r>
    </w:p>
    <w:p w14:paraId="00BC8F46" w14:textId="77777777" w:rsidR="0062453B" w:rsidRPr="0062453B" w:rsidRDefault="0062453B" w:rsidP="0062453B">
      <w:pPr>
        <w:spacing w:line="360" w:lineRule="auto"/>
        <w:ind w:firstLine="720"/>
        <w:rPr>
          <w:rFonts w:ascii="Arial" w:hAnsi="Arial" w:cs="Arial"/>
          <w:kern w:val="24"/>
          <w:sz w:val="22"/>
          <w:szCs w:val="22"/>
        </w:rPr>
      </w:pPr>
      <w:r>
        <w:rPr>
          <w:rFonts w:ascii="Arial" w:hAnsi="Arial"/>
          <w:kern w:val="24"/>
          <w:sz w:val="22"/>
        </w:rPr>
        <w:t xml:space="preserve">“Pakāpeniski samazinot autovadītāja iejaukšanos autonomās vadības transportlīdzekļos, arvien nozīmīgākas kļūs riepas kā </w:t>
      </w:r>
      <w:r w:rsidR="00315CCF">
        <w:rPr>
          <w:rFonts w:ascii="Arial" w:hAnsi="Arial"/>
          <w:kern w:val="24"/>
          <w:sz w:val="22"/>
        </w:rPr>
        <w:t xml:space="preserve">svarīgākā </w:t>
      </w:r>
      <w:r>
        <w:rPr>
          <w:rFonts w:ascii="Arial" w:hAnsi="Arial"/>
          <w:kern w:val="24"/>
          <w:sz w:val="22"/>
        </w:rPr>
        <w:t>sasaiste ar ceļu,” teica Goodyear vecākais viceprezidents un galvenais tehniskais vadītājs Džozefs Zekoski (</w:t>
      </w:r>
      <w:r>
        <w:rPr>
          <w:rFonts w:ascii="Arial" w:hAnsi="Arial"/>
          <w:i/>
          <w:kern w:val="24"/>
          <w:sz w:val="22"/>
        </w:rPr>
        <w:t>Joseph Zekoski</w:t>
      </w:r>
      <w:r>
        <w:rPr>
          <w:rFonts w:ascii="Arial" w:hAnsi="Arial"/>
          <w:kern w:val="24"/>
          <w:sz w:val="22"/>
        </w:rPr>
        <w:t>). “Goodyear koncepcijas riepām nākotnē būs dubult</w:t>
      </w:r>
      <w:r w:rsidR="00315CCF">
        <w:rPr>
          <w:rFonts w:ascii="Arial" w:hAnsi="Arial"/>
          <w:kern w:val="24"/>
          <w:sz w:val="22"/>
        </w:rPr>
        <w:t>svarīga</w:t>
      </w:r>
      <w:r>
        <w:rPr>
          <w:rFonts w:ascii="Arial" w:hAnsi="Arial"/>
          <w:kern w:val="24"/>
          <w:sz w:val="22"/>
        </w:rPr>
        <w:t xml:space="preserve"> loma — kā platformām, kas </w:t>
      </w:r>
      <w:r w:rsidR="00315CCF">
        <w:rPr>
          <w:rFonts w:ascii="Arial" w:hAnsi="Arial"/>
          <w:kern w:val="24"/>
          <w:sz w:val="22"/>
        </w:rPr>
        <w:t xml:space="preserve">radoši </w:t>
      </w:r>
      <w:r>
        <w:rPr>
          <w:rFonts w:ascii="Arial" w:hAnsi="Arial"/>
          <w:kern w:val="24"/>
          <w:sz w:val="22"/>
        </w:rPr>
        <w:t>paplašina ierast</w:t>
      </w:r>
      <w:r w:rsidR="00315CCF">
        <w:rPr>
          <w:rFonts w:ascii="Arial" w:hAnsi="Arial"/>
          <w:kern w:val="24"/>
          <w:sz w:val="22"/>
        </w:rPr>
        <w:t>o</w:t>
      </w:r>
      <w:r>
        <w:rPr>
          <w:rFonts w:ascii="Arial" w:hAnsi="Arial"/>
          <w:kern w:val="24"/>
          <w:sz w:val="22"/>
        </w:rPr>
        <w:t xml:space="preserve"> domāšan</w:t>
      </w:r>
      <w:r w:rsidR="00315CCF">
        <w:rPr>
          <w:rFonts w:ascii="Arial" w:hAnsi="Arial"/>
          <w:kern w:val="24"/>
          <w:sz w:val="22"/>
        </w:rPr>
        <w:t>u</w:t>
      </w:r>
      <w:r>
        <w:rPr>
          <w:rFonts w:ascii="Arial" w:hAnsi="Arial"/>
          <w:kern w:val="24"/>
          <w:sz w:val="22"/>
        </w:rPr>
        <w:t xml:space="preserve">, un kā </w:t>
      </w:r>
      <w:r w:rsidR="00315CCF">
        <w:rPr>
          <w:rFonts w:ascii="Arial" w:hAnsi="Arial"/>
          <w:kern w:val="24"/>
          <w:sz w:val="22"/>
        </w:rPr>
        <w:t xml:space="preserve">pamats </w:t>
      </w:r>
      <w:r>
        <w:rPr>
          <w:rFonts w:ascii="Arial" w:hAnsi="Arial"/>
          <w:kern w:val="24"/>
          <w:sz w:val="22"/>
        </w:rPr>
        <w:t>nākamās paaudzes tehnoloģiju izmēģināju</w:t>
      </w:r>
      <w:r w:rsidR="00315CCF">
        <w:rPr>
          <w:rFonts w:ascii="Arial" w:hAnsi="Arial"/>
          <w:kern w:val="24"/>
          <w:sz w:val="22"/>
        </w:rPr>
        <w:t>miem</w:t>
      </w:r>
      <w:r>
        <w:rPr>
          <w:rFonts w:ascii="Arial" w:hAnsi="Arial"/>
          <w:kern w:val="24"/>
          <w:sz w:val="22"/>
        </w:rPr>
        <w:t>.”</w:t>
      </w:r>
    </w:p>
    <w:p w14:paraId="5CD12268" w14:textId="77777777" w:rsidR="00D65045" w:rsidRPr="00492337" w:rsidRDefault="00C72581" w:rsidP="0062453B">
      <w:pPr>
        <w:spacing w:line="360" w:lineRule="auto"/>
        <w:ind w:firstLine="708"/>
        <w:rPr>
          <w:rFonts w:ascii="Arial" w:hAnsi="Arial" w:cs="Arial"/>
          <w:sz w:val="22"/>
          <w:szCs w:val="22"/>
        </w:rPr>
      </w:pPr>
      <w:r>
        <w:rPr>
          <w:rFonts w:ascii="Arial" w:hAnsi="Arial"/>
          <w:sz w:val="22"/>
        </w:rPr>
        <w:t xml:space="preserve">Pateicoties uzlabotajai sensoru tehnoloģijai un īpaši izstrādātajam protektoram, Goodyear IntelliGrip riepa var sajust </w:t>
      </w:r>
      <w:r w:rsidR="00315CCF">
        <w:rPr>
          <w:rFonts w:ascii="Arial" w:hAnsi="Arial"/>
          <w:sz w:val="22"/>
        </w:rPr>
        <w:t xml:space="preserve">dažādus </w:t>
      </w:r>
      <w:r>
        <w:rPr>
          <w:rFonts w:ascii="Arial" w:hAnsi="Arial"/>
          <w:sz w:val="22"/>
        </w:rPr>
        <w:t>virsmas un laika apstākļus. IntelliGrip izmanto arī nodiluma</w:t>
      </w:r>
      <w:r w:rsidR="00A35E65">
        <w:rPr>
          <w:rFonts w:ascii="Arial" w:hAnsi="Arial"/>
          <w:sz w:val="22"/>
        </w:rPr>
        <w:t xml:space="preserve"> kontroles</w:t>
      </w:r>
      <w:r>
        <w:rPr>
          <w:rFonts w:ascii="Arial" w:hAnsi="Arial"/>
          <w:sz w:val="22"/>
        </w:rPr>
        <w:t xml:space="preserve"> tehnoloģiju, kuras pamatā ir Goodyear aktīvā nodiluma un riepu </w:t>
      </w:r>
      <w:r>
        <w:rPr>
          <w:rFonts w:ascii="Arial" w:hAnsi="Arial"/>
          <w:sz w:val="22"/>
        </w:rPr>
        <w:lastRenderedPageBreak/>
        <w:t>spiediena pārraudzības sistēmas sensor</w:t>
      </w:r>
      <w:r w:rsidR="00315CCF">
        <w:rPr>
          <w:rFonts w:ascii="Arial" w:hAnsi="Arial"/>
          <w:sz w:val="22"/>
        </w:rPr>
        <w:t>s</w:t>
      </w:r>
      <w:r>
        <w:rPr>
          <w:rFonts w:ascii="Arial" w:hAnsi="Arial"/>
          <w:sz w:val="22"/>
        </w:rPr>
        <w:t>, lai novērtētu riepas un transportlīdzekļa stāvokli. Goodyear izstrādājis īpašus algoritmus tādiem mainīgajiem kā spiedien</w:t>
      </w:r>
      <w:r w:rsidR="00B43962">
        <w:rPr>
          <w:rFonts w:ascii="Arial" w:hAnsi="Arial"/>
          <w:sz w:val="22"/>
        </w:rPr>
        <w:t>am riepā</w:t>
      </w:r>
      <w:r>
        <w:rPr>
          <w:rFonts w:ascii="Arial" w:hAnsi="Arial"/>
          <w:sz w:val="22"/>
        </w:rPr>
        <w:t>s un temperatūra</w:t>
      </w:r>
      <w:r w:rsidR="00B43962">
        <w:rPr>
          <w:rFonts w:ascii="Arial" w:hAnsi="Arial"/>
          <w:sz w:val="22"/>
        </w:rPr>
        <w:t>i</w:t>
      </w:r>
      <w:r>
        <w:rPr>
          <w:rFonts w:ascii="Arial" w:hAnsi="Arial"/>
          <w:sz w:val="22"/>
        </w:rPr>
        <w:t xml:space="preserve">, lai labāk novērtētu </w:t>
      </w:r>
      <w:r w:rsidR="00315CCF">
        <w:rPr>
          <w:rFonts w:ascii="Arial" w:hAnsi="Arial"/>
          <w:sz w:val="22"/>
        </w:rPr>
        <w:t xml:space="preserve">kopējo </w:t>
      </w:r>
      <w:r>
        <w:rPr>
          <w:rFonts w:ascii="Arial" w:hAnsi="Arial"/>
          <w:sz w:val="22"/>
        </w:rPr>
        <w:t>stāvokli un rezultātā optimizētu transportlīdzekļa autonomo vadīb</w:t>
      </w:r>
      <w:r w:rsidR="00315CCF">
        <w:rPr>
          <w:rFonts w:ascii="Arial" w:hAnsi="Arial"/>
          <w:sz w:val="22"/>
        </w:rPr>
        <w:t>u</w:t>
      </w:r>
      <w:r>
        <w:rPr>
          <w:rFonts w:ascii="Arial" w:hAnsi="Arial"/>
          <w:sz w:val="22"/>
        </w:rPr>
        <w:t>.</w:t>
      </w:r>
    </w:p>
    <w:p w14:paraId="5E21CF8A" w14:textId="77777777" w:rsidR="00BD6D70" w:rsidRPr="00492B39" w:rsidRDefault="00492B39" w:rsidP="00660084">
      <w:pPr>
        <w:spacing w:line="360" w:lineRule="auto"/>
        <w:ind w:firstLine="708"/>
        <w:rPr>
          <w:rFonts w:ascii="Arial" w:hAnsi="Arial" w:cs="Arial"/>
          <w:sz w:val="22"/>
          <w:szCs w:val="22"/>
        </w:rPr>
      </w:pPr>
      <w:r>
        <w:rPr>
          <w:rFonts w:ascii="Arial" w:hAnsi="Arial"/>
          <w:sz w:val="22"/>
        </w:rPr>
        <w:t>Papildus</w:t>
      </w:r>
      <w:r w:rsidR="00DA3CE8">
        <w:rPr>
          <w:rFonts w:ascii="Arial" w:hAnsi="Arial"/>
          <w:sz w:val="22"/>
        </w:rPr>
        <w:t xml:space="preserve"> tam</w:t>
      </w:r>
      <w:r>
        <w:rPr>
          <w:rFonts w:ascii="Arial" w:hAnsi="Arial"/>
          <w:sz w:val="22"/>
        </w:rPr>
        <w:t xml:space="preserve"> riepa sazinās ar transportlīdzekļa centrālā datora sistēmu, kas palīdz uzlabot autovadīšanas sniegumu un drošību. Ja riepa sajūt salijušu vai slidenu virsmu, transportlīdzeklis pielāgo ātrumu. </w:t>
      </w:r>
      <w:r w:rsidR="00315CCF">
        <w:rPr>
          <w:rFonts w:ascii="Arial" w:hAnsi="Arial"/>
          <w:sz w:val="22"/>
        </w:rPr>
        <w:t xml:space="preserve">Paredzēts, ka </w:t>
      </w:r>
      <w:r w:rsidR="00B43962">
        <w:rPr>
          <w:rFonts w:ascii="Arial" w:hAnsi="Arial"/>
          <w:sz w:val="22"/>
        </w:rPr>
        <w:t>tas nodrošinās īsāku bremzēšanas</w:t>
      </w:r>
      <w:r>
        <w:rPr>
          <w:rFonts w:ascii="Arial" w:hAnsi="Arial"/>
          <w:sz w:val="22"/>
        </w:rPr>
        <w:t xml:space="preserve"> </w:t>
      </w:r>
      <w:r w:rsidR="00B43962">
        <w:rPr>
          <w:rFonts w:ascii="Arial" w:hAnsi="Arial"/>
          <w:sz w:val="22"/>
        </w:rPr>
        <w:t>ceļu</w:t>
      </w:r>
      <w:r>
        <w:rPr>
          <w:rFonts w:ascii="Arial" w:hAnsi="Arial"/>
          <w:sz w:val="22"/>
        </w:rPr>
        <w:t xml:space="preserve">, </w:t>
      </w:r>
      <w:r w:rsidR="00B43962">
        <w:rPr>
          <w:rFonts w:ascii="Arial" w:hAnsi="Arial"/>
          <w:sz w:val="22"/>
        </w:rPr>
        <w:t xml:space="preserve">nodrošinās labāku reakciju </w:t>
      </w:r>
      <w:r>
        <w:rPr>
          <w:rFonts w:ascii="Arial" w:hAnsi="Arial"/>
          <w:sz w:val="22"/>
        </w:rPr>
        <w:t xml:space="preserve">līkumos, </w:t>
      </w:r>
      <w:r w:rsidR="00B43962">
        <w:rPr>
          <w:rFonts w:ascii="Arial" w:hAnsi="Arial"/>
          <w:sz w:val="22"/>
        </w:rPr>
        <w:t>uzlabos</w:t>
      </w:r>
      <w:r w:rsidR="00315CCF">
        <w:rPr>
          <w:rFonts w:ascii="Arial" w:hAnsi="Arial"/>
          <w:sz w:val="22"/>
        </w:rPr>
        <w:t xml:space="preserve"> </w:t>
      </w:r>
      <w:r w:rsidR="00B43962">
        <w:rPr>
          <w:rFonts w:ascii="Arial" w:hAnsi="Arial"/>
          <w:sz w:val="22"/>
        </w:rPr>
        <w:t xml:space="preserve">stabilitāti </w:t>
      </w:r>
      <w:r>
        <w:rPr>
          <w:rFonts w:ascii="Arial" w:hAnsi="Arial"/>
          <w:sz w:val="22"/>
        </w:rPr>
        <w:t xml:space="preserve">un </w:t>
      </w:r>
      <w:r w:rsidR="00B43962">
        <w:rPr>
          <w:rFonts w:ascii="Arial" w:hAnsi="Arial"/>
          <w:sz w:val="22"/>
        </w:rPr>
        <w:t>pat atbalstīs</w:t>
      </w:r>
      <w:r>
        <w:rPr>
          <w:rFonts w:ascii="Arial" w:hAnsi="Arial"/>
          <w:sz w:val="22"/>
        </w:rPr>
        <w:t xml:space="preserve"> sadursmes </w:t>
      </w:r>
      <w:r w:rsidR="00B43962">
        <w:rPr>
          <w:rFonts w:ascii="Arial" w:hAnsi="Arial"/>
          <w:sz w:val="22"/>
        </w:rPr>
        <w:t>novēršanas sistēmas.</w:t>
      </w:r>
    </w:p>
    <w:p w14:paraId="5223CBAE" w14:textId="77777777" w:rsidR="00865DDA" w:rsidRPr="00492337" w:rsidRDefault="00492B39" w:rsidP="00507072">
      <w:pPr>
        <w:spacing w:line="360" w:lineRule="auto"/>
        <w:ind w:firstLine="708"/>
        <w:rPr>
          <w:rFonts w:ascii="Arial" w:hAnsi="Arial" w:cs="Arial"/>
          <w:sz w:val="22"/>
          <w:szCs w:val="22"/>
        </w:rPr>
      </w:pPr>
      <w:r>
        <w:rPr>
          <w:rFonts w:ascii="Arial" w:hAnsi="Arial"/>
          <w:sz w:val="22"/>
        </w:rPr>
        <w:t xml:space="preserve">Goodyear sadarbojas ar daudziem </w:t>
      </w:r>
      <w:r w:rsidR="00B43962">
        <w:rPr>
          <w:rFonts w:ascii="Arial" w:hAnsi="Arial"/>
          <w:sz w:val="22"/>
        </w:rPr>
        <w:t xml:space="preserve">automobiļu </w:t>
      </w:r>
      <w:r>
        <w:rPr>
          <w:rFonts w:ascii="Arial" w:hAnsi="Arial"/>
          <w:sz w:val="22"/>
        </w:rPr>
        <w:t xml:space="preserve">ražotājiem, lai tehnoloģiju vēl vairāk pielāgotu to vajadzībām, uzlabojot savienojamību ar </w:t>
      </w:r>
      <w:r w:rsidR="00EC5490">
        <w:rPr>
          <w:rFonts w:ascii="Arial" w:hAnsi="Arial"/>
          <w:sz w:val="22"/>
        </w:rPr>
        <w:t xml:space="preserve">tādām </w:t>
      </w:r>
      <w:r>
        <w:rPr>
          <w:rFonts w:ascii="Arial" w:hAnsi="Arial"/>
          <w:sz w:val="22"/>
        </w:rPr>
        <w:t>funkcijām</w:t>
      </w:r>
      <w:r w:rsidR="00EC5490">
        <w:rPr>
          <w:rFonts w:ascii="Arial" w:hAnsi="Arial"/>
          <w:sz w:val="22"/>
        </w:rPr>
        <w:t xml:space="preserve"> kā</w:t>
      </w:r>
      <w:r w:rsidR="00B43962">
        <w:rPr>
          <w:rFonts w:ascii="Arial" w:hAnsi="Arial"/>
          <w:sz w:val="22"/>
        </w:rPr>
        <w:t xml:space="preserve"> </w:t>
      </w:r>
      <w:r>
        <w:rPr>
          <w:rFonts w:ascii="Arial" w:hAnsi="Arial"/>
          <w:sz w:val="22"/>
        </w:rPr>
        <w:t>elektroniskās stabilitātes vadības sistēm</w:t>
      </w:r>
      <w:r w:rsidR="00EC5490">
        <w:rPr>
          <w:rFonts w:ascii="Arial" w:hAnsi="Arial"/>
          <w:sz w:val="22"/>
        </w:rPr>
        <w:t>a</w:t>
      </w:r>
      <w:r>
        <w:rPr>
          <w:rFonts w:ascii="Arial" w:hAnsi="Arial"/>
          <w:sz w:val="22"/>
        </w:rPr>
        <w:t>, bremžu vadības sistēm</w:t>
      </w:r>
      <w:r w:rsidR="00EC5490">
        <w:rPr>
          <w:rFonts w:ascii="Arial" w:hAnsi="Arial"/>
          <w:sz w:val="22"/>
        </w:rPr>
        <w:t>a</w:t>
      </w:r>
      <w:r>
        <w:rPr>
          <w:rFonts w:ascii="Arial" w:hAnsi="Arial"/>
          <w:sz w:val="22"/>
        </w:rPr>
        <w:t xml:space="preserve"> un piekares vadības sistēm</w:t>
      </w:r>
      <w:r w:rsidR="00EC5490">
        <w:rPr>
          <w:rFonts w:ascii="Arial" w:hAnsi="Arial"/>
          <w:sz w:val="22"/>
        </w:rPr>
        <w:t>a</w:t>
      </w:r>
      <w:r>
        <w:rPr>
          <w:rFonts w:ascii="Arial" w:hAnsi="Arial"/>
          <w:sz w:val="22"/>
        </w:rPr>
        <w:t xml:space="preserve">. </w:t>
      </w:r>
    </w:p>
    <w:p w14:paraId="4249B74A" w14:textId="77777777" w:rsidR="008E09D5" w:rsidRPr="00EC5490" w:rsidRDefault="00865DDA" w:rsidP="007841EC">
      <w:pPr>
        <w:spacing w:line="360" w:lineRule="auto"/>
        <w:ind w:firstLine="708"/>
        <w:rPr>
          <w:rFonts w:ascii="Arial" w:hAnsi="Arial" w:cs="Arial"/>
          <w:sz w:val="22"/>
          <w:szCs w:val="22"/>
        </w:rPr>
      </w:pPr>
      <w:r w:rsidRPr="00EC5490">
        <w:rPr>
          <w:rFonts w:ascii="Arial" w:hAnsi="Arial"/>
          <w:sz w:val="22"/>
          <w:szCs w:val="22"/>
        </w:rPr>
        <w:t xml:space="preserve">IntelliGrip mikroshēma </w:t>
      </w:r>
      <w:r w:rsidRPr="00B43962">
        <w:rPr>
          <w:rFonts w:ascii="Arial" w:hAnsi="Arial"/>
          <w:sz w:val="22"/>
          <w:szCs w:val="22"/>
        </w:rPr>
        <w:t>izstrādāta kopā ar Huf — mehānisko un elektrisko bloķēšanas sistēmu, riepu spiediena pārraudzības sistēmu un telemātikas sistēmu vadošo ražotāju automobiļu nozarei visā pasaulē.</w:t>
      </w:r>
    </w:p>
    <w:p w14:paraId="21096CFF" w14:textId="77777777" w:rsidR="00DA3CE8" w:rsidRDefault="00056AB4" w:rsidP="00DA3CE8">
      <w:pPr>
        <w:spacing w:line="360" w:lineRule="auto"/>
        <w:ind w:firstLine="708"/>
        <w:rPr>
          <w:rFonts w:ascii="Arial" w:hAnsi="Arial"/>
          <w:sz w:val="22"/>
          <w:szCs w:val="22"/>
        </w:rPr>
      </w:pPr>
      <w:r w:rsidRPr="00056AB4">
        <w:rPr>
          <w:rFonts w:ascii="Arial" w:hAnsi="Arial" w:cs="Arial"/>
          <w:sz w:val="22"/>
          <w:szCs w:val="22"/>
        </w:rPr>
        <w:t>Lai iegūtu papildu informāciju par Goodyear, apmeklējiet Ženēvas auto izstādes 2. zāli, 2056. stendā. Tāpat arī 1. martā plkst. 12.30 iespējams piedalīties Goodyear preses konferencē. Sekojiet mums @Goodyearpress</w:t>
      </w:r>
      <w:r w:rsidR="00EC5490" w:rsidRPr="00DA3CE8">
        <w:rPr>
          <w:rFonts w:ascii="Arial" w:hAnsi="Arial" w:cs="Arial"/>
          <w:sz w:val="22"/>
          <w:szCs w:val="22"/>
        </w:rPr>
        <w:t xml:space="preserve">. </w:t>
      </w:r>
      <w:r w:rsidR="00EC5490" w:rsidRPr="00DA3CE8">
        <w:rPr>
          <w:rFonts w:ascii="Arial" w:hAnsi="Arial"/>
          <w:sz w:val="22"/>
          <w:szCs w:val="22"/>
        </w:rPr>
        <w:t>Laipni lūgti pievienoties mūsu ThinkGoodMobility grupai LinkedIn. Preses materiāli ir pieejami lejupielādei no news.goodyear.eu</w:t>
      </w:r>
      <w:r w:rsidR="00DA3CE8">
        <w:rPr>
          <w:rFonts w:ascii="Arial" w:hAnsi="Arial"/>
          <w:sz w:val="22"/>
          <w:szCs w:val="22"/>
        </w:rPr>
        <w:t>.</w:t>
      </w:r>
    </w:p>
    <w:p w14:paraId="01A747AF" w14:textId="77777777" w:rsidR="000C04AF" w:rsidRDefault="000C04AF" w:rsidP="00DA3CE8">
      <w:pPr>
        <w:spacing w:line="360" w:lineRule="auto"/>
        <w:ind w:firstLine="708"/>
        <w:rPr>
          <w:rFonts w:ascii="Arial" w:hAnsi="Arial" w:cs="Arial"/>
          <w:sz w:val="22"/>
          <w:szCs w:val="22"/>
        </w:rPr>
      </w:pPr>
    </w:p>
    <w:p w14:paraId="0975BE46" w14:textId="77777777" w:rsidR="00724140" w:rsidRPr="00914CF1" w:rsidRDefault="00724140" w:rsidP="00724140">
      <w:pPr>
        <w:autoSpaceDE w:val="0"/>
        <w:autoSpaceDN w:val="0"/>
        <w:adjustRightInd w:val="0"/>
        <w:ind w:right="119"/>
        <w:rPr>
          <w:rFonts w:ascii="Arial" w:hAnsi="Arial" w:cs="Arial"/>
          <w:color w:val="58595B"/>
          <w:sz w:val="16"/>
          <w:szCs w:val="16"/>
        </w:rPr>
      </w:pPr>
      <w:r>
        <w:rPr>
          <w:rFonts w:ascii="Arial" w:hAnsi="Arial"/>
          <w:color w:val="0055A4"/>
          <w:sz w:val="16"/>
        </w:rPr>
        <w:t xml:space="preserve">Par Goodyear </w:t>
      </w:r>
      <w:r>
        <w:rPr>
          <w:rFonts w:ascii="Arial" w:hAnsi="Arial" w:cs="Arial"/>
          <w:color w:val="58595B"/>
          <w:sz w:val="16"/>
          <w:szCs w:val="16"/>
        </w:rPr>
        <w:br/>
      </w:r>
      <w:r>
        <w:rPr>
          <w:rFonts w:ascii="Arial" w:hAnsi="Arial"/>
          <w:color w:val="000000"/>
          <w:sz w:val="16"/>
          <w:shd w:val="clear" w:color="auto" w:fill="FFFFFF"/>
        </w:rPr>
        <w:t>Goodyear ir viens no lielākajiem riepu ražotājiem pasaulē. Kompānija nodarbina aptuveni 66 000 cilvēku, un tās izstrādājumi tiek ražoti 49 ražotnēs 22 pasaules valstīs. Divos inovāciju centros, kas atrodas Akronā (Ohaijo štatā) un Kolmārbergā (Luksemburgā), tiek izstrādāti moderni produkti un pakalpojumi, kas nosaka nozares tehnoloģiju un snieguma standartu. Plašāku informāciju par Goodyear un tā izstrādājumiem skatiet šeit:</w:t>
      </w:r>
      <w:r>
        <w:rPr>
          <w:rFonts w:ascii="Arial" w:hAnsi="Arial"/>
          <w:color w:val="58595B"/>
          <w:sz w:val="16"/>
        </w:rPr>
        <w:t xml:space="preserve"> </w:t>
      </w:r>
      <w:hyperlink r:id="rId8">
        <w:r>
          <w:rPr>
            <w:rStyle w:val="Hyperlink"/>
            <w:rFonts w:ascii="Arial" w:hAnsi="Arial"/>
            <w:sz w:val="16"/>
          </w:rPr>
          <w:t>http://www.goodyear.eu</w:t>
        </w:r>
      </w:hyperlink>
      <w:r>
        <w:rPr>
          <w:rFonts w:ascii="Arial" w:hAnsi="Arial"/>
          <w:color w:val="58595B"/>
          <w:sz w:val="16"/>
        </w:rPr>
        <w:t>.</w:t>
      </w:r>
    </w:p>
    <w:p w14:paraId="051131AA" w14:textId="77777777" w:rsidR="00063B95" w:rsidRPr="00752D09" w:rsidRDefault="00063B95" w:rsidP="003A2677">
      <w:pPr>
        <w:autoSpaceDE w:val="0"/>
        <w:autoSpaceDN w:val="0"/>
        <w:adjustRightInd w:val="0"/>
        <w:rPr>
          <w:rFonts w:ascii="Arial" w:hAnsi="Arial" w:cs="Arial"/>
          <w:color w:val="000000"/>
          <w:sz w:val="16"/>
          <w:szCs w:val="16"/>
        </w:rPr>
      </w:pPr>
    </w:p>
    <w:p w14:paraId="7FAB0881" w14:textId="77777777" w:rsidR="00063B95" w:rsidRPr="00F77BAD" w:rsidRDefault="00063B95" w:rsidP="003A2677">
      <w:pPr>
        <w:spacing w:after="160" w:line="360" w:lineRule="auto"/>
        <w:rPr>
          <w:rFonts w:ascii="Helvetica Neue Light" w:hAnsi="Helvetica Neue Light" w:cs="Arial"/>
          <w:color w:val="000000"/>
        </w:rPr>
      </w:pPr>
    </w:p>
    <w:p w14:paraId="5F7238D5" w14:textId="77777777" w:rsidR="00063B95" w:rsidRPr="00F77BAD" w:rsidRDefault="00063B95" w:rsidP="003A2677">
      <w:pPr>
        <w:rPr>
          <w:sz w:val="22"/>
          <w:szCs w:val="22"/>
        </w:rPr>
      </w:pPr>
    </w:p>
    <w:p w14:paraId="3BFB1E44" w14:textId="77777777" w:rsidR="00063B95" w:rsidRPr="00F77BAD" w:rsidRDefault="00063B95">
      <w:pPr>
        <w:rPr>
          <w:sz w:val="22"/>
          <w:szCs w:val="22"/>
        </w:rPr>
      </w:pPr>
    </w:p>
    <w:sectPr w:rsidR="00063B95" w:rsidRPr="00F77BAD"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2CA8A" w14:textId="77777777" w:rsidR="00960F52" w:rsidRDefault="00960F52" w:rsidP="0068646D">
      <w:r>
        <w:separator/>
      </w:r>
    </w:p>
  </w:endnote>
  <w:endnote w:type="continuationSeparator" w:id="0">
    <w:p w14:paraId="72695B62" w14:textId="77777777" w:rsidR="00960F52" w:rsidRDefault="00960F52"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CD60"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28215FC0" wp14:editId="2363164E">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7A2170A3"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215FC0"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kaOwIAAHo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" filled="f" stroked="f">
              <v:path arrowok="t"/>
              <v:textbox>
                <w:txbxContent>
                  <w:p w14:paraId="7A2170A3"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2B5B61BD" wp14:editId="6BC15A5C">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26EBE50A"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B61BD"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" filled="f" stroked="f">
              <v:path arrowok="t"/>
              <v:textbox>
                <w:txbxContent>
                  <w:p w14:paraId="26EBE50A"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04C4A768"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4FD35" w14:textId="77777777" w:rsidR="00960F52" w:rsidRDefault="00960F52" w:rsidP="0068646D">
      <w:r>
        <w:separator/>
      </w:r>
    </w:p>
  </w:footnote>
  <w:footnote w:type="continuationSeparator" w:id="0">
    <w:p w14:paraId="143CF089" w14:textId="77777777" w:rsidR="00960F52" w:rsidRDefault="00960F52" w:rsidP="0068646D">
      <w:r>
        <w:continuationSeparator/>
      </w:r>
    </w:p>
  </w:footnote>
  <w:footnote w:id="1">
    <w:p w14:paraId="73B47F4B" w14:textId="77777777" w:rsidR="000D70CF" w:rsidRPr="00C72581" w:rsidRDefault="000D70CF">
      <w:pPr>
        <w:pStyle w:val="FootnoteText"/>
        <w:rPr>
          <w:rFonts w:ascii="Arial" w:hAnsi="Arial" w:cs="Arial"/>
          <w:sz w:val="16"/>
          <w:szCs w:val="16"/>
        </w:rPr>
      </w:pPr>
      <w:r>
        <w:rPr>
          <w:rStyle w:val="FootnoteReference"/>
          <w:rFonts w:ascii="Arial" w:hAnsi="Arial"/>
          <w:sz w:val="16"/>
        </w:rPr>
        <w:footnoteRef/>
      </w:r>
      <w:r>
        <w:rPr>
          <w:rFonts w:ascii="Arial" w:hAnsi="Arial"/>
          <w:sz w:val="16"/>
        </w:rPr>
        <w:t xml:space="preserve"> Avots: Pasaules ekonomikas forums; BCG analīze, pilsētas politikas vei</w:t>
      </w:r>
      <w:bookmarkStart w:id="0" w:name="_GoBack"/>
      <w:bookmarkEnd w:id="0"/>
      <w:r>
        <w:rPr>
          <w:rFonts w:ascii="Arial" w:hAnsi="Arial"/>
          <w:sz w:val="16"/>
        </w:rPr>
        <w:t xml:space="preserve">dotāja 2015. gada intervijas </w:t>
      </w:r>
    </w:p>
  </w:footnote>
  <w:footnote w:id="2">
    <w:p w14:paraId="6E845475" w14:textId="77777777" w:rsidR="00576543" w:rsidRPr="00DA3CE8" w:rsidRDefault="00576543">
      <w:pPr>
        <w:pStyle w:val="FootnoteText"/>
      </w:pPr>
      <w:r>
        <w:rPr>
          <w:rStyle w:val="FootnoteReference"/>
          <w:rFonts w:ascii="Arial" w:hAnsi="Arial"/>
          <w:sz w:val="16"/>
        </w:rPr>
        <w:footnoteRef/>
      </w:r>
      <w:r>
        <w:rPr>
          <w:rFonts w:ascii="Arial" w:hAnsi="Arial"/>
          <w:sz w:val="16"/>
        </w:rPr>
        <w:t xml:space="preserve"> 2015 U.S. Tech Choice pētījums notika no 2015. gada janvāra līdz martam, un tā pamatā bija tiešsaistes aptauja, uz kuras jautājumiem atbildēja vairāk nekā 5300 patērētāji, kuri pēdējo piecu gadu laikā bija iegādājušies/nomājuši jaunu transportlīdzekli. - Vairāk lasiet šeit: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511A" w14:textId="77777777" w:rsidR="00063B95" w:rsidRDefault="00C65520" w:rsidP="000D3889">
    <w:pPr>
      <w:pStyle w:val="Header"/>
      <w:tabs>
        <w:tab w:val="clear" w:pos="9360"/>
      </w:tabs>
      <w:ind w:right="66" w:hanging="1417"/>
    </w:pPr>
    <w:r>
      <w:rPr>
        <w:noProof/>
        <w:lang w:val="en-US" w:eastAsia="en-US" w:bidi="ar-SA"/>
      </w:rPr>
      <w:drawing>
        <wp:anchor distT="0" distB="0" distL="114300" distR="114300" simplePos="0" relativeHeight="251659776" behindDoc="1" locked="0" layoutInCell="1" allowOverlap="1" wp14:anchorId="67F632B7" wp14:editId="6B0489A5">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520EFBA8" w14:textId="77777777" w:rsidR="00C65520" w:rsidRDefault="00C65520" w:rsidP="00C65520">
    <w:pPr>
      <w:pStyle w:val="Header"/>
      <w:tabs>
        <w:tab w:val="clear" w:pos="9360"/>
      </w:tabs>
      <w:ind w:right="66"/>
    </w:pPr>
  </w:p>
  <w:p w14:paraId="23D93220" w14:textId="77777777" w:rsidR="00063B95" w:rsidRDefault="00063B95" w:rsidP="008B5EE9">
    <w:pPr>
      <w:pStyle w:val="Header"/>
      <w:ind w:firstLine="2832"/>
      <w:jc w:val="right"/>
    </w:pPr>
  </w:p>
  <w:p w14:paraId="5E64C426" w14:textId="77777777" w:rsidR="00063B95" w:rsidRDefault="00063B95"/>
  <w:p w14:paraId="5AC5CD6E" w14:textId="77777777" w:rsidR="00063B95" w:rsidRDefault="00063B95"/>
  <w:p w14:paraId="7166D6D1" w14:textId="77777777" w:rsidR="00063B95" w:rsidRDefault="00063B95"/>
  <w:p w14:paraId="114BF24F" w14:textId="77777777" w:rsidR="00063B95" w:rsidRDefault="00063B95"/>
  <w:p w14:paraId="299B8735" w14:textId="77777777" w:rsidR="00063B95" w:rsidRDefault="00063B95"/>
  <w:p w14:paraId="4E9ED32C" w14:textId="77777777" w:rsidR="00063B95" w:rsidRDefault="00063B95"/>
  <w:p w14:paraId="3E180D6F" w14:textId="77777777" w:rsidR="00063B95" w:rsidRDefault="00063B95"/>
  <w:p w14:paraId="3BC83BFB" w14:textId="77777777" w:rsidR="00063B95" w:rsidRDefault="00063B95"/>
  <w:p w14:paraId="0BB1F22A" w14:textId="77777777" w:rsidR="00063B95" w:rsidRDefault="00063B95"/>
  <w:p w14:paraId="44A3F0E7" w14:textId="77777777" w:rsidR="00063B95" w:rsidRDefault="00063B95"/>
  <w:p w14:paraId="605D97DF"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6AB4"/>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4C71"/>
    <w:rsid w:val="001E622F"/>
    <w:rsid w:val="00203C95"/>
    <w:rsid w:val="002103EC"/>
    <w:rsid w:val="00210B19"/>
    <w:rsid w:val="00213BB5"/>
    <w:rsid w:val="00221558"/>
    <w:rsid w:val="00244A0D"/>
    <w:rsid w:val="0024544A"/>
    <w:rsid w:val="00254BC9"/>
    <w:rsid w:val="00263D98"/>
    <w:rsid w:val="00275B11"/>
    <w:rsid w:val="0027752E"/>
    <w:rsid w:val="00281EBE"/>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15CCF"/>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A0255"/>
    <w:rsid w:val="003A080A"/>
    <w:rsid w:val="003A0933"/>
    <w:rsid w:val="003A15DD"/>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E55"/>
    <w:rsid w:val="0056526A"/>
    <w:rsid w:val="00571C4C"/>
    <w:rsid w:val="005753F9"/>
    <w:rsid w:val="00576543"/>
    <w:rsid w:val="00586CB1"/>
    <w:rsid w:val="005B4386"/>
    <w:rsid w:val="005C4BBE"/>
    <w:rsid w:val="005D5507"/>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4D64"/>
    <w:rsid w:val="00735BA1"/>
    <w:rsid w:val="00743202"/>
    <w:rsid w:val="00750C90"/>
    <w:rsid w:val="00752D09"/>
    <w:rsid w:val="0076368D"/>
    <w:rsid w:val="0076757C"/>
    <w:rsid w:val="0078154D"/>
    <w:rsid w:val="007841EC"/>
    <w:rsid w:val="00784A13"/>
    <w:rsid w:val="00792192"/>
    <w:rsid w:val="00797C78"/>
    <w:rsid w:val="007B36C2"/>
    <w:rsid w:val="007B4252"/>
    <w:rsid w:val="007B575D"/>
    <w:rsid w:val="007C202B"/>
    <w:rsid w:val="007C63A0"/>
    <w:rsid w:val="007D5973"/>
    <w:rsid w:val="007E120A"/>
    <w:rsid w:val="007E7CBA"/>
    <w:rsid w:val="007F0C18"/>
    <w:rsid w:val="007F184E"/>
    <w:rsid w:val="007F5CFD"/>
    <w:rsid w:val="007F77B6"/>
    <w:rsid w:val="0080175B"/>
    <w:rsid w:val="0080496A"/>
    <w:rsid w:val="00804CD8"/>
    <w:rsid w:val="008148F7"/>
    <w:rsid w:val="008170EC"/>
    <w:rsid w:val="0082667E"/>
    <w:rsid w:val="008360DB"/>
    <w:rsid w:val="00846B7D"/>
    <w:rsid w:val="00857901"/>
    <w:rsid w:val="00865DDA"/>
    <w:rsid w:val="0087005F"/>
    <w:rsid w:val="008724FE"/>
    <w:rsid w:val="00876CDB"/>
    <w:rsid w:val="008A10F1"/>
    <w:rsid w:val="008B5A90"/>
    <w:rsid w:val="008B5EE9"/>
    <w:rsid w:val="008B671A"/>
    <w:rsid w:val="008B7F50"/>
    <w:rsid w:val="008C3EA2"/>
    <w:rsid w:val="008C659D"/>
    <w:rsid w:val="008C7B1A"/>
    <w:rsid w:val="008D10CE"/>
    <w:rsid w:val="008D325A"/>
    <w:rsid w:val="008E09D5"/>
    <w:rsid w:val="008E1502"/>
    <w:rsid w:val="008E394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547F2"/>
    <w:rsid w:val="00960F52"/>
    <w:rsid w:val="00961B6C"/>
    <w:rsid w:val="0096660C"/>
    <w:rsid w:val="00981B54"/>
    <w:rsid w:val="0098622D"/>
    <w:rsid w:val="00990289"/>
    <w:rsid w:val="009A6F7D"/>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35E65"/>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744"/>
    <w:rsid w:val="00AD285B"/>
    <w:rsid w:val="00AD3912"/>
    <w:rsid w:val="00AE141C"/>
    <w:rsid w:val="00AF420F"/>
    <w:rsid w:val="00AF5FF9"/>
    <w:rsid w:val="00B02BE7"/>
    <w:rsid w:val="00B02DCD"/>
    <w:rsid w:val="00B1775A"/>
    <w:rsid w:val="00B2485F"/>
    <w:rsid w:val="00B27254"/>
    <w:rsid w:val="00B33280"/>
    <w:rsid w:val="00B42106"/>
    <w:rsid w:val="00B43962"/>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B7321"/>
    <w:rsid w:val="00BC04A2"/>
    <w:rsid w:val="00BC346A"/>
    <w:rsid w:val="00BD0E2B"/>
    <w:rsid w:val="00BD5972"/>
    <w:rsid w:val="00BD6D70"/>
    <w:rsid w:val="00BE602A"/>
    <w:rsid w:val="00BE7BFB"/>
    <w:rsid w:val="00C00A58"/>
    <w:rsid w:val="00C05E3B"/>
    <w:rsid w:val="00C14616"/>
    <w:rsid w:val="00C17381"/>
    <w:rsid w:val="00C30729"/>
    <w:rsid w:val="00C334B4"/>
    <w:rsid w:val="00C34DA0"/>
    <w:rsid w:val="00C35269"/>
    <w:rsid w:val="00C3583A"/>
    <w:rsid w:val="00C37C79"/>
    <w:rsid w:val="00C37FB8"/>
    <w:rsid w:val="00C514BE"/>
    <w:rsid w:val="00C542B6"/>
    <w:rsid w:val="00C65520"/>
    <w:rsid w:val="00C65C51"/>
    <w:rsid w:val="00C66503"/>
    <w:rsid w:val="00C72581"/>
    <w:rsid w:val="00C77C40"/>
    <w:rsid w:val="00CA4D7C"/>
    <w:rsid w:val="00CD40C7"/>
    <w:rsid w:val="00CD7CF0"/>
    <w:rsid w:val="00CE56B5"/>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3CE8"/>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5490"/>
    <w:rsid w:val="00EC7821"/>
    <w:rsid w:val="00ED67B6"/>
    <w:rsid w:val="00ED75C9"/>
    <w:rsid w:val="00EE37FD"/>
    <w:rsid w:val="00EF03FD"/>
    <w:rsid w:val="00EF7885"/>
    <w:rsid w:val="00F039C6"/>
    <w:rsid w:val="00F0592C"/>
    <w:rsid w:val="00F05D09"/>
    <w:rsid w:val="00F07DB3"/>
    <w:rsid w:val="00F205D5"/>
    <w:rsid w:val="00F254DE"/>
    <w:rsid w:val="00F258D6"/>
    <w:rsid w:val="00F41DD7"/>
    <w:rsid w:val="00F52F37"/>
    <w:rsid w:val="00F568D7"/>
    <w:rsid w:val="00F56A9C"/>
    <w:rsid w:val="00F619AA"/>
    <w:rsid w:val="00F712E1"/>
    <w:rsid w:val="00F71C50"/>
    <w:rsid w:val="00F77BAD"/>
    <w:rsid w:val="00F81DEF"/>
    <w:rsid w:val="00F83CB1"/>
    <w:rsid w:val="00F86216"/>
    <w:rsid w:val="00F94E78"/>
    <w:rsid w:val="00F95ACE"/>
    <w:rsid w:val="00F96D7B"/>
    <w:rsid w:val="00FA1B7C"/>
    <w:rsid w:val="00FA1BCF"/>
    <w:rsid w:val="00FA2198"/>
    <w:rsid w:val="00FB60CB"/>
    <w:rsid w:val="00FC0A62"/>
    <w:rsid w:val="00FC0F63"/>
    <w:rsid w:val="00FC2508"/>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316480"/>
  <w14:defaultImageDpi w14:val="0"/>
  <w15:docId w15:val="{8FFA51A3-D665-4CA8-9906-EA65F592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lv-LV" w:eastAsia="lv-LV"/>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B88F-0595-4850-ABC1-FDAFAF8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Karin Senning</cp:lastModifiedBy>
  <cp:revision>5</cp:revision>
  <cp:lastPrinted>2016-02-09T11:06:00Z</cp:lastPrinted>
  <dcterms:created xsi:type="dcterms:W3CDTF">2016-02-26T14:30:00Z</dcterms:created>
  <dcterms:modified xsi:type="dcterms:W3CDTF">2016-02-26T15:57:00Z</dcterms:modified>
</cp:coreProperties>
</file>