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104"/>
        <w:gridCol w:w="6315"/>
        <w:gridCol w:w="5129"/>
        <w:gridCol w:w="5129"/>
        <w:gridCol w:w="5129"/>
      </w:tblGrid>
      <w:tr w:rsidR="009C4F15" w:rsidRPr="00DE1C07" w:rsidTr="000730E2">
        <w:trPr>
          <w:gridAfter w:val="2"/>
          <w:wAfter w:w="10258" w:type="dxa"/>
          <w:cantSplit/>
          <w:tblHeader/>
        </w:trPr>
        <w:tc>
          <w:tcPr>
            <w:tcW w:w="1710" w:type="dxa"/>
          </w:tcPr>
          <w:p w:rsidR="009C4F15" w:rsidRPr="00DE1C07" w:rsidRDefault="009C4F15">
            <w:pPr>
              <w:rPr>
                <w:rFonts w:ascii="Verdana" w:hAnsi="Verdana"/>
                <w:b/>
                <w:lang w:val="en-GB"/>
              </w:rPr>
            </w:pPr>
            <w:r w:rsidRPr="00DE1C07">
              <w:rPr>
                <w:rFonts w:ascii="Verdana" w:hAnsi="Verdana"/>
                <w:b/>
                <w:lang w:val="en-GB"/>
              </w:rPr>
              <w:t>Images</w:t>
            </w:r>
          </w:p>
        </w:tc>
        <w:tc>
          <w:tcPr>
            <w:tcW w:w="2104" w:type="dxa"/>
          </w:tcPr>
          <w:p w:rsidR="009C4F15" w:rsidRPr="00DE1C07" w:rsidRDefault="009C4F15">
            <w:pPr>
              <w:rPr>
                <w:rFonts w:ascii="Verdana" w:hAnsi="Verdana"/>
                <w:b/>
                <w:lang w:val="en-GB"/>
              </w:rPr>
            </w:pPr>
            <w:r w:rsidRPr="00DE1C07">
              <w:rPr>
                <w:rFonts w:ascii="Verdana" w:hAnsi="Verdana"/>
                <w:b/>
                <w:lang w:val="en-GB"/>
              </w:rPr>
              <w:t>Sound</w:t>
            </w:r>
          </w:p>
        </w:tc>
        <w:tc>
          <w:tcPr>
            <w:tcW w:w="6315" w:type="dxa"/>
          </w:tcPr>
          <w:p w:rsidR="009C4F15" w:rsidRPr="00DE1C07" w:rsidRDefault="009C4F15">
            <w:pPr>
              <w:rPr>
                <w:rFonts w:ascii="Verdana" w:hAnsi="Verdana"/>
                <w:b/>
                <w:lang w:val="en-GB"/>
              </w:rPr>
            </w:pPr>
            <w:r w:rsidRPr="00DE1C07">
              <w:rPr>
                <w:rFonts w:ascii="Verdana" w:hAnsi="Verdana"/>
                <w:b/>
                <w:lang w:val="en-GB"/>
              </w:rPr>
              <w:t>Text English</w:t>
            </w:r>
          </w:p>
        </w:tc>
        <w:tc>
          <w:tcPr>
            <w:tcW w:w="5129" w:type="dxa"/>
          </w:tcPr>
          <w:p w:rsidR="009C4F15" w:rsidRPr="00DE1C07" w:rsidRDefault="009C4F15">
            <w:pPr>
              <w:rPr>
                <w:rFonts w:ascii="Verdana" w:hAnsi="Verdana"/>
                <w:b/>
                <w:lang w:val="en-GB"/>
              </w:rPr>
            </w:pPr>
            <w:r w:rsidRPr="00DE1C07">
              <w:rPr>
                <w:rFonts w:ascii="Verdana" w:hAnsi="Verdana"/>
                <w:b/>
                <w:lang w:val="en-GB"/>
              </w:rPr>
              <w:t>Deutsch/</w:t>
            </w:r>
            <w:proofErr w:type="spellStart"/>
            <w:r w:rsidRPr="00DE1C07">
              <w:rPr>
                <w:rFonts w:ascii="Verdana" w:hAnsi="Verdana"/>
                <w:b/>
                <w:lang w:val="en-GB"/>
              </w:rPr>
              <w:t>Francais</w:t>
            </w:r>
            <w:proofErr w:type="spellEnd"/>
            <w:r w:rsidRPr="00DE1C07">
              <w:rPr>
                <w:rFonts w:ascii="Verdana" w:hAnsi="Verdana"/>
                <w:b/>
                <w:lang w:val="en-GB"/>
              </w:rPr>
              <w:t>/</w:t>
            </w:r>
            <w:proofErr w:type="spellStart"/>
            <w:r w:rsidRPr="00DE1C07">
              <w:rPr>
                <w:rFonts w:ascii="Verdana" w:hAnsi="Verdana"/>
                <w:b/>
                <w:lang w:val="en-GB"/>
              </w:rPr>
              <w:t>Espanol</w:t>
            </w:r>
            <w:proofErr w:type="spellEnd"/>
          </w:p>
        </w:tc>
      </w:tr>
      <w:tr w:rsidR="009C4F15" w:rsidRPr="00DE1C07" w:rsidTr="000730E2">
        <w:trPr>
          <w:gridAfter w:val="2"/>
          <w:wAfter w:w="10258" w:type="dxa"/>
          <w:cantSplit/>
        </w:trPr>
        <w:tc>
          <w:tcPr>
            <w:tcW w:w="1710" w:type="dxa"/>
          </w:tcPr>
          <w:p w:rsidR="009C4F15" w:rsidRPr="00DE1C07" w:rsidRDefault="009C4F15">
            <w:pPr>
              <w:rPr>
                <w:rFonts w:ascii="Verdana" w:hAnsi="Verdana"/>
                <w:lang w:val="en-GB"/>
              </w:rPr>
            </w:pPr>
            <w:r w:rsidRPr="00DE1C07">
              <w:rPr>
                <w:rFonts w:ascii="Verdana" w:hAnsi="Verdana"/>
                <w:lang w:val="en-GB"/>
              </w:rPr>
              <w:t>TITLES</w:t>
            </w:r>
          </w:p>
        </w:tc>
        <w:tc>
          <w:tcPr>
            <w:tcW w:w="2104" w:type="dxa"/>
          </w:tcPr>
          <w:p w:rsidR="009C4F15" w:rsidRPr="00DE1C07" w:rsidRDefault="009C4F15">
            <w:pPr>
              <w:rPr>
                <w:rFonts w:ascii="Verdana" w:hAnsi="Verdana"/>
                <w:lang w:val="en-GB"/>
              </w:rPr>
            </w:pPr>
            <w:r w:rsidRPr="00DE1C07">
              <w:rPr>
                <w:rFonts w:ascii="Verdana" w:hAnsi="Verdana"/>
                <w:lang w:val="en-GB"/>
              </w:rPr>
              <w:t>TITLES</w:t>
            </w:r>
          </w:p>
        </w:tc>
        <w:tc>
          <w:tcPr>
            <w:tcW w:w="6315" w:type="dxa"/>
          </w:tcPr>
          <w:p w:rsidR="009C4F15" w:rsidRPr="00DE1C07" w:rsidRDefault="009C4F15">
            <w:pPr>
              <w:rPr>
                <w:rFonts w:ascii="Verdana" w:hAnsi="Verdana"/>
                <w:lang w:val="en-GB"/>
              </w:rPr>
            </w:pPr>
          </w:p>
        </w:tc>
        <w:tc>
          <w:tcPr>
            <w:tcW w:w="5129" w:type="dxa"/>
          </w:tcPr>
          <w:p w:rsidR="009C4F15" w:rsidRPr="00DE1C07" w:rsidRDefault="009C4F15">
            <w:pPr>
              <w:rPr>
                <w:rFonts w:ascii="Verdana" w:hAnsi="Verdana"/>
                <w:lang w:val="en-GB"/>
              </w:rPr>
            </w:pPr>
          </w:p>
        </w:tc>
      </w:tr>
      <w:tr w:rsidR="009C4F15" w:rsidRPr="00DE1C07" w:rsidTr="000730E2">
        <w:trPr>
          <w:gridAfter w:val="2"/>
          <w:wAfter w:w="10258" w:type="dxa"/>
          <w:cantSplit/>
        </w:trPr>
        <w:tc>
          <w:tcPr>
            <w:tcW w:w="1710" w:type="dxa"/>
          </w:tcPr>
          <w:p w:rsidR="009C4F15" w:rsidRPr="00DE1C07" w:rsidRDefault="009C4F15">
            <w:pPr>
              <w:rPr>
                <w:rFonts w:ascii="Verdana" w:hAnsi="Verdana"/>
                <w:lang w:val="en-GB"/>
              </w:rPr>
            </w:pPr>
          </w:p>
        </w:tc>
        <w:tc>
          <w:tcPr>
            <w:tcW w:w="2104" w:type="dxa"/>
          </w:tcPr>
          <w:p w:rsidR="009C4F15" w:rsidRPr="00DE1C07" w:rsidRDefault="006B6533">
            <w:pPr>
              <w:rPr>
                <w:rFonts w:ascii="Verdana" w:hAnsi="Verdana"/>
                <w:lang w:val="en-GB"/>
              </w:rPr>
            </w:pPr>
            <w:r w:rsidRPr="00DE1C07">
              <w:rPr>
                <w:rFonts w:ascii="Verdana" w:hAnsi="Verdana"/>
                <w:lang w:val="en-GB"/>
              </w:rPr>
              <w:t>Intro</w:t>
            </w:r>
          </w:p>
        </w:tc>
        <w:tc>
          <w:tcPr>
            <w:tcW w:w="6315" w:type="dxa"/>
          </w:tcPr>
          <w:p w:rsidR="009C4F15" w:rsidRPr="00DE1C07" w:rsidRDefault="008C4620" w:rsidP="002C1716">
            <w:pPr>
              <w:rPr>
                <w:rFonts w:ascii="Verdana" w:hAnsi="Verdana"/>
                <w:lang w:val="en-GB"/>
              </w:rPr>
            </w:pPr>
            <w:r w:rsidRPr="00DE1C07">
              <w:rPr>
                <w:rFonts w:ascii="Verdana" w:hAnsi="Verdana"/>
                <w:lang w:val="en-GB"/>
              </w:rPr>
              <w:t>In early October, the World Trade Organisation ruled in favour of the US in relation to an EU-US Airbus state aid dispute.</w:t>
            </w:r>
          </w:p>
          <w:p w:rsidR="008C4620" w:rsidRPr="00DE1C07" w:rsidRDefault="008C4620" w:rsidP="002C1716">
            <w:pPr>
              <w:rPr>
                <w:rFonts w:ascii="Verdana" w:hAnsi="Verdana"/>
                <w:lang w:val="en-GB"/>
              </w:rPr>
            </w:pPr>
          </w:p>
          <w:p w:rsidR="008C4620" w:rsidRPr="00DE1C07" w:rsidRDefault="008C4620" w:rsidP="002C1716">
            <w:pPr>
              <w:rPr>
                <w:rFonts w:ascii="Verdana" w:hAnsi="Verdana"/>
                <w:lang w:val="en-GB"/>
              </w:rPr>
            </w:pPr>
            <w:r w:rsidRPr="00DE1C07">
              <w:rPr>
                <w:rFonts w:ascii="Verdana" w:hAnsi="Verdana"/>
                <w:lang w:val="en-GB"/>
              </w:rPr>
              <w:t>Following that, the US government has announced seven billion euro worth of tariffs on goods coming</w:t>
            </w:r>
            <w:r w:rsidR="00D61442" w:rsidRPr="00DE1C07">
              <w:rPr>
                <w:rFonts w:ascii="Verdana" w:hAnsi="Verdana"/>
                <w:lang w:val="en-GB"/>
              </w:rPr>
              <w:t xml:space="preserve"> into the US</w:t>
            </w:r>
            <w:r w:rsidRPr="00DE1C07">
              <w:rPr>
                <w:rFonts w:ascii="Verdana" w:hAnsi="Verdana"/>
                <w:lang w:val="en-GB"/>
              </w:rPr>
              <w:t xml:space="preserve"> from the EU.</w:t>
            </w:r>
          </w:p>
          <w:p w:rsidR="008C4620" w:rsidRPr="00DE1C07" w:rsidRDefault="008C4620" w:rsidP="002C1716">
            <w:pPr>
              <w:rPr>
                <w:rFonts w:ascii="Verdana" w:hAnsi="Verdana"/>
                <w:lang w:val="en-GB"/>
              </w:rPr>
            </w:pPr>
          </w:p>
          <w:p w:rsidR="008C4620" w:rsidRPr="00DE1C07" w:rsidRDefault="008C4620" w:rsidP="002C1716">
            <w:pPr>
              <w:rPr>
                <w:rFonts w:ascii="Verdana" w:hAnsi="Verdana"/>
                <w:lang w:val="en-GB"/>
              </w:rPr>
            </w:pPr>
            <w:r w:rsidRPr="00DE1C07">
              <w:rPr>
                <w:rFonts w:ascii="Verdana" w:hAnsi="Verdana"/>
                <w:lang w:val="en-GB"/>
              </w:rPr>
              <w:t>The EPP Group tabled an urgent debate on the issue during the mini plenary in Brussels on 9 October.</w:t>
            </w:r>
            <w:r w:rsidR="001301C8" w:rsidRPr="00DE1C07">
              <w:rPr>
                <w:rFonts w:ascii="Verdana" w:hAnsi="Verdana"/>
                <w:lang w:val="en-GB"/>
              </w:rPr>
              <w:t xml:space="preserve"> EPP Group spokesperson on trade, Christophe Hansen, explained more.</w:t>
            </w:r>
          </w:p>
          <w:p w:rsidR="002C1716" w:rsidRPr="00DE1C07" w:rsidRDefault="002C1716" w:rsidP="002C1716">
            <w:pPr>
              <w:rPr>
                <w:rFonts w:ascii="Verdana" w:hAnsi="Verdana"/>
                <w:lang w:val="en-GB"/>
              </w:rPr>
            </w:pPr>
          </w:p>
          <w:p w:rsidR="002C1716" w:rsidRPr="00DE1C07" w:rsidRDefault="002C1716" w:rsidP="002C1716">
            <w:pPr>
              <w:rPr>
                <w:rFonts w:ascii="Verdana" w:hAnsi="Verdana"/>
                <w:lang w:val="en-GB"/>
              </w:rPr>
            </w:pPr>
          </w:p>
        </w:tc>
        <w:tc>
          <w:tcPr>
            <w:tcW w:w="5129" w:type="dxa"/>
          </w:tcPr>
          <w:p w:rsidR="009C4F15" w:rsidRPr="00DE1C07" w:rsidRDefault="009C4F15">
            <w:pPr>
              <w:rPr>
                <w:rFonts w:ascii="Verdana" w:hAnsi="Verdana"/>
                <w:lang w:val="en-GB"/>
              </w:rPr>
            </w:pPr>
          </w:p>
        </w:tc>
      </w:tr>
      <w:tr w:rsidR="009C4F15" w:rsidRPr="00DE1C07" w:rsidTr="000730E2">
        <w:trPr>
          <w:gridAfter w:val="2"/>
          <w:wAfter w:w="10258" w:type="dxa"/>
          <w:cantSplit/>
        </w:trPr>
        <w:tc>
          <w:tcPr>
            <w:tcW w:w="1710" w:type="dxa"/>
          </w:tcPr>
          <w:p w:rsidR="009C4F15" w:rsidRPr="00DE1C07" w:rsidRDefault="009C4F15">
            <w:pPr>
              <w:rPr>
                <w:rFonts w:ascii="Verdana" w:hAnsi="Verdana"/>
                <w:lang w:val="en-GB"/>
              </w:rPr>
            </w:pPr>
            <w:r w:rsidRPr="00DE1C07">
              <w:rPr>
                <w:rFonts w:ascii="Verdana" w:hAnsi="Verdana"/>
                <w:lang w:val="en-GB"/>
              </w:rPr>
              <w:t>Interview</w:t>
            </w:r>
          </w:p>
        </w:tc>
        <w:tc>
          <w:tcPr>
            <w:tcW w:w="2104" w:type="dxa"/>
          </w:tcPr>
          <w:p w:rsidR="002C1716" w:rsidRPr="00DE1C07" w:rsidRDefault="002C1716">
            <w:pPr>
              <w:rPr>
                <w:rFonts w:ascii="Verdana" w:hAnsi="Verdana"/>
                <w:lang w:val="en-GB"/>
              </w:rPr>
            </w:pPr>
          </w:p>
          <w:p w:rsidR="002C1716" w:rsidRPr="00DE1C07" w:rsidRDefault="008921BA" w:rsidP="008921BA">
            <w:pPr>
              <w:rPr>
                <w:rFonts w:ascii="Verdana" w:hAnsi="Verdana"/>
                <w:lang w:val="en-GB"/>
              </w:rPr>
            </w:pPr>
            <w:r w:rsidRPr="00DE1C07">
              <w:rPr>
                <w:rFonts w:ascii="Verdana" w:hAnsi="Verdana"/>
                <w:lang w:val="en-GB"/>
              </w:rPr>
              <w:t>EPP Group MEP Christophe Hansen</w:t>
            </w:r>
          </w:p>
        </w:tc>
        <w:tc>
          <w:tcPr>
            <w:tcW w:w="6315" w:type="dxa"/>
          </w:tcPr>
          <w:p w:rsidR="008921BA" w:rsidRPr="00DE1C07" w:rsidRDefault="008921BA" w:rsidP="008921BA">
            <w:pPr>
              <w:rPr>
                <w:rFonts w:ascii="Verdana" w:hAnsi="Verdana"/>
                <w:i/>
                <w:lang w:val="en-GB"/>
              </w:rPr>
            </w:pPr>
            <w:r w:rsidRPr="00DE1C07">
              <w:rPr>
                <w:rFonts w:ascii="Verdana" w:hAnsi="Verdana"/>
                <w:i/>
                <w:lang w:val="en-GB"/>
              </w:rPr>
              <w:t>00.23</w:t>
            </w:r>
            <w:r w:rsidR="000730E2" w:rsidRPr="00DE1C07">
              <w:rPr>
                <w:rFonts w:ascii="Verdana" w:hAnsi="Verdana"/>
                <w:i/>
                <w:lang w:val="en-GB"/>
              </w:rPr>
              <w:t>-00.52</w:t>
            </w:r>
          </w:p>
          <w:p w:rsidR="009C4F15" w:rsidRPr="00DE1C07" w:rsidRDefault="008921BA" w:rsidP="000730E2">
            <w:pPr>
              <w:rPr>
                <w:rFonts w:ascii="Verdana" w:hAnsi="Verdana"/>
                <w:i/>
                <w:lang w:val="en-GB"/>
              </w:rPr>
            </w:pPr>
            <w:r w:rsidRPr="00DE1C07">
              <w:rPr>
                <w:rFonts w:ascii="Verdana" w:hAnsi="Verdana"/>
                <w:i/>
                <w:lang w:val="en-GB"/>
              </w:rPr>
              <w:t xml:space="preserve">Whisky for example, European cheeses, olive oil from Spain and from Italy - so </w:t>
            </w:r>
            <w:proofErr w:type="gramStart"/>
            <w:r w:rsidRPr="00DE1C07">
              <w:rPr>
                <w:rFonts w:ascii="Verdana" w:hAnsi="Verdana"/>
                <w:i/>
                <w:lang w:val="en-GB"/>
              </w:rPr>
              <w:t>a lot of</w:t>
            </w:r>
            <w:proofErr w:type="gramEnd"/>
            <w:r w:rsidRPr="00DE1C07">
              <w:rPr>
                <w:rFonts w:ascii="Verdana" w:hAnsi="Verdana"/>
                <w:i/>
                <w:lang w:val="en-GB"/>
              </w:rPr>
              <w:t xml:space="preserve"> producers, small producers from the European Union were hurt by this announcement. The tariffs will come </w:t>
            </w:r>
            <w:proofErr w:type="gramStart"/>
            <w:r w:rsidRPr="00DE1C07">
              <w:rPr>
                <w:rFonts w:ascii="Verdana" w:hAnsi="Verdana"/>
                <w:i/>
                <w:lang w:val="en-GB"/>
              </w:rPr>
              <w:t>into  force</w:t>
            </w:r>
            <w:proofErr w:type="gramEnd"/>
            <w:r w:rsidRPr="00DE1C07">
              <w:rPr>
                <w:rFonts w:ascii="Verdana" w:hAnsi="Verdana"/>
                <w:i/>
                <w:lang w:val="en-GB"/>
              </w:rPr>
              <w:t xml:space="preserve"> on the 18th of October. </w:t>
            </w:r>
            <w:proofErr w:type="gramStart"/>
            <w:r w:rsidRPr="00DE1C07">
              <w:rPr>
                <w:rFonts w:ascii="Verdana" w:hAnsi="Verdana"/>
                <w:i/>
                <w:lang w:val="en-GB"/>
              </w:rPr>
              <w:t>So</w:t>
            </w:r>
            <w:proofErr w:type="gramEnd"/>
            <w:r w:rsidRPr="00DE1C07">
              <w:rPr>
                <w:rFonts w:ascii="Verdana" w:hAnsi="Verdana"/>
                <w:i/>
                <w:lang w:val="en-GB"/>
              </w:rPr>
              <w:t xml:space="preserve"> it was for us really important to react strongly and to say to the Commission and as well to the US that we want to have a negotiated agreement. </w:t>
            </w:r>
          </w:p>
        </w:tc>
        <w:tc>
          <w:tcPr>
            <w:tcW w:w="5129" w:type="dxa"/>
          </w:tcPr>
          <w:p w:rsidR="009C4F15" w:rsidRPr="00DE1C07" w:rsidRDefault="009C4F15">
            <w:pPr>
              <w:rPr>
                <w:rFonts w:ascii="Verdana" w:hAnsi="Verdana"/>
                <w:lang w:val="en-GB"/>
              </w:rPr>
            </w:pPr>
          </w:p>
        </w:tc>
      </w:tr>
      <w:tr w:rsidR="000730E2" w:rsidRPr="00DE1C07" w:rsidTr="000730E2">
        <w:trPr>
          <w:gridAfter w:val="2"/>
          <w:wAfter w:w="10258" w:type="dxa"/>
          <w:cantSplit/>
        </w:trPr>
        <w:tc>
          <w:tcPr>
            <w:tcW w:w="1710" w:type="dxa"/>
          </w:tcPr>
          <w:p w:rsidR="000730E2" w:rsidRPr="00DE1C07" w:rsidRDefault="000730E2" w:rsidP="00D76364">
            <w:pPr>
              <w:rPr>
                <w:rFonts w:ascii="Verdana" w:hAnsi="Verdana"/>
                <w:lang w:val="en-GB"/>
              </w:rPr>
            </w:pPr>
          </w:p>
          <w:p w:rsidR="000730E2" w:rsidRPr="00DE1C07" w:rsidRDefault="000730E2" w:rsidP="00D76364">
            <w:pPr>
              <w:rPr>
                <w:rFonts w:ascii="Verdana" w:hAnsi="Verdana"/>
                <w:lang w:val="en-GB"/>
              </w:rPr>
            </w:pPr>
          </w:p>
          <w:p w:rsidR="000730E2" w:rsidRPr="00DE1C07" w:rsidRDefault="000730E2" w:rsidP="00D76364">
            <w:pPr>
              <w:rPr>
                <w:rFonts w:ascii="Verdana" w:hAnsi="Verdana"/>
                <w:lang w:val="en-GB"/>
              </w:rPr>
            </w:pPr>
          </w:p>
        </w:tc>
        <w:tc>
          <w:tcPr>
            <w:tcW w:w="2104" w:type="dxa"/>
          </w:tcPr>
          <w:p w:rsidR="000730E2" w:rsidRPr="00DE1C07" w:rsidRDefault="000730E2" w:rsidP="00D76364">
            <w:pPr>
              <w:rPr>
                <w:rFonts w:ascii="Verdana" w:hAnsi="Verdana"/>
                <w:lang w:val="en-GB"/>
              </w:rPr>
            </w:pPr>
          </w:p>
        </w:tc>
        <w:tc>
          <w:tcPr>
            <w:tcW w:w="6315" w:type="dxa"/>
          </w:tcPr>
          <w:p w:rsidR="000730E2" w:rsidRPr="00DE1C07" w:rsidRDefault="000730E2" w:rsidP="00D76364">
            <w:pPr>
              <w:rPr>
                <w:rFonts w:ascii="Verdana" w:hAnsi="Verdana"/>
                <w:lang w:val="en-GB"/>
              </w:rPr>
            </w:pPr>
          </w:p>
          <w:p w:rsidR="004179CE" w:rsidRPr="00DE1C07" w:rsidRDefault="004179CE" w:rsidP="00D76364">
            <w:pPr>
              <w:rPr>
                <w:rFonts w:ascii="Verdana" w:hAnsi="Verdana"/>
                <w:lang w:val="en-GB"/>
              </w:rPr>
            </w:pPr>
            <w:r w:rsidRPr="00DE1C07">
              <w:rPr>
                <w:rFonts w:ascii="Verdana" w:hAnsi="Verdana"/>
                <w:lang w:val="en-GB"/>
              </w:rPr>
              <w:t>He went on to talk about the solution to the ongoing EU-US trade dispute.</w:t>
            </w:r>
          </w:p>
        </w:tc>
        <w:tc>
          <w:tcPr>
            <w:tcW w:w="5129" w:type="dxa"/>
          </w:tcPr>
          <w:p w:rsidR="000730E2" w:rsidRPr="00DE1C07" w:rsidRDefault="000730E2" w:rsidP="00D76364">
            <w:pPr>
              <w:rPr>
                <w:rFonts w:ascii="Verdana" w:hAnsi="Verdana"/>
                <w:lang w:val="en-GB"/>
              </w:rPr>
            </w:pPr>
          </w:p>
        </w:tc>
      </w:tr>
      <w:tr w:rsidR="000730E2" w:rsidRPr="00DE1C07" w:rsidTr="000730E2">
        <w:trPr>
          <w:cantSplit/>
        </w:trPr>
        <w:tc>
          <w:tcPr>
            <w:tcW w:w="1710" w:type="dxa"/>
          </w:tcPr>
          <w:p w:rsidR="000730E2" w:rsidRPr="00DE1C07" w:rsidRDefault="000730E2" w:rsidP="000730E2">
            <w:pPr>
              <w:rPr>
                <w:rFonts w:ascii="Verdana" w:hAnsi="Verdana"/>
                <w:lang w:val="en-GB"/>
              </w:rPr>
            </w:pPr>
          </w:p>
          <w:p w:rsidR="000730E2" w:rsidRPr="00DE1C07" w:rsidRDefault="000730E2" w:rsidP="000730E2">
            <w:pPr>
              <w:rPr>
                <w:rFonts w:ascii="Verdana" w:hAnsi="Verdana"/>
                <w:lang w:val="en-GB"/>
              </w:rPr>
            </w:pPr>
          </w:p>
          <w:p w:rsidR="000730E2" w:rsidRPr="00DE1C07" w:rsidRDefault="000730E2" w:rsidP="000730E2">
            <w:pPr>
              <w:rPr>
                <w:rFonts w:ascii="Verdana" w:hAnsi="Verdana"/>
                <w:lang w:val="en-GB"/>
              </w:rPr>
            </w:pPr>
          </w:p>
        </w:tc>
        <w:tc>
          <w:tcPr>
            <w:tcW w:w="2104" w:type="dxa"/>
          </w:tcPr>
          <w:p w:rsidR="000730E2" w:rsidRPr="00DE1C07" w:rsidRDefault="004179CE" w:rsidP="000730E2">
            <w:pPr>
              <w:rPr>
                <w:rFonts w:ascii="Verdana" w:hAnsi="Verdana"/>
                <w:lang w:val="en-GB"/>
              </w:rPr>
            </w:pPr>
            <w:r w:rsidRPr="00DE1C07">
              <w:rPr>
                <w:rFonts w:ascii="Verdana" w:hAnsi="Verdana"/>
                <w:lang w:val="en-GB"/>
              </w:rPr>
              <w:t>EPP Group MEP Christophe Hansen</w:t>
            </w:r>
          </w:p>
        </w:tc>
        <w:tc>
          <w:tcPr>
            <w:tcW w:w="6315" w:type="dxa"/>
          </w:tcPr>
          <w:p w:rsidR="000730E2" w:rsidRPr="00DE1C07" w:rsidRDefault="000730E2" w:rsidP="000730E2">
            <w:pPr>
              <w:rPr>
                <w:rFonts w:ascii="Verdana" w:hAnsi="Verdana"/>
                <w:i/>
                <w:lang w:val="en-GB"/>
              </w:rPr>
            </w:pPr>
            <w:r w:rsidRPr="00DE1C07">
              <w:rPr>
                <w:rFonts w:ascii="Verdana" w:hAnsi="Verdana"/>
                <w:i/>
                <w:lang w:val="en-GB"/>
              </w:rPr>
              <w:t>2.26-2.32</w:t>
            </w:r>
          </w:p>
          <w:p w:rsidR="000730E2" w:rsidRPr="00DE1C07" w:rsidRDefault="000730E2" w:rsidP="000730E2">
            <w:pPr>
              <w:rPr>
                <w:rFonts w:ascii="Verdana" w:hAnsi="Verdana"/>
                <w:i/>
                <w:lang w:val="en-GB"/>
              </w:rPr>
            </w:pPr>
            <w:r w:rsidRPr="00DE1C07">
              <w:rPr>
                <w:rFonts w:ascii="Verdana" w:hAnsi="Verdana"/>
                <w:i/>
                <w:lang w:val="en-GB"/>
              </w:rPr>
              <w:t>The ideal solution of course would be that finally the US comes back to the negotiating table.</w:t>
            </w:r>
          </w:p>
          <w:p w:rsidR="000730E2" w:rsidRPr="00DE1C07" w:rsidRDefault="000730E2" w:rsidP="000730E2">
            <w:pPr>
              <w:rPr>
                <w:rFonts w:ascii="Verdana" w:hAnsi="Verdana"/>
                <w:i/>
                <w:lang w:val="en-GB"/>
              </w:rPr>
            </w:pPr>
          </w:p>
          <w:p w:rsidR="000730E2" w:rsidRPr="00DE1C07" w:rsidRDefault="000730E2" w:rsidP="000730E2">
            <w:pPr>
              <w:rPr>
                <w:rFonts w:ascii="Verdana" w:hAnsi="Verdana"/>
                <w:i/>
                <w:lang w:val="en-GB"/>
              </w:rPr>
            </w:pPr>
            <w:r w:rsidRPr="00DE1C07">
              <w:rPr>
                <w:rFonts w:ascii="Verdana" w:hAnsi="Verdana"/>
                <w:i/>
                <w:lang w:val="en-GB"/>
              </w:rPr>
              <w:t>3.07-3.23</w:t>
            </w:r>
          </w:p>
          <w:p w:rsidR="000730E2" w:rsidRPr="00DE1C07" w:rsidRDefault="000730E2" w:rsidP="000730E2">
            <w:pPr>
              <w:rPr>
                <w:rFonts w:ascii="Verdana" w:hAnsi="Verdana"/>
                <w:i/>
                <w:lang w:val="en-GB"/>
              </w:rPr>
            </w:pPr>
            <w:proofErr w:type="gramStart"/>
            <w:r w:rsidRPr="00DE1C07">
              <w:rPr>
                <w:rFonts w:ascii="Verdana" w:hAnsi="Verdana"/>
                <w:i/>
                <w:lang w:val="en-GB"/>
              </w:rPr>
              <w:t>But</w:t>
            </w:r>
            <w:proofErr w:type="gramEnd"/>
            <w:r w:rsidRPr="00DE1C07">
              <w:rPr>
                <w:rFonts w:ascii="Verdana" w:hAnsi="Verdana"/>
                <w:i/>
                <w:lang w:val="en-GB"/>
              </w:rPr>
              <w:t xml:space="preserve"> if the United States don’t come back to the negotiating table, we will have to retaliate in the same manner, we have to retaliate in the same kind. </w:t>
            </w:r>
            <w:proofErr w:type="gramStart"/>
            <w:r w:rsidRPr="00DE1C07">
              <w:rPr>
                <w:rFonts w:ascii="Verdana" w:hAnsi="Verdana"/>
                <w:i/>
                <w:lang w:val="en-GB"/>
              </w:rPr>
              <w:t>And</w:t>
            </w:r>
            <w:proofErr w:type="gramEnd"/>
            <w:r w:rsidRPr="00DE1C07">
              <w:rPr>
                <w:rFonts w:ascii="Verdana" w:hAnsi="Verdana"/>
                <w:i/>
                <w:lang w:val="en-GB"/>
              </w:rPr>
              <w:t xml:space="preserve"> those will be sanctions. </w:t>
            </w:r>
            <w:proofErr w:type="gramStart"/>
            <w:r w:rsidRPr="00DE1C07">
              <w:rPr>
                <w:rFonts w:ascii="Verdana" w:hAnsi="Verdana"/>
                <w:i/>
                <w:lang w:val="en-GB"/>
              </w:rPr>
              <w:t>But</w:t>
            </w:r>
            <w:proofErr w:type="gramEnd"/>
            <w:r w:rsidRPr="00DE1C07">
              <w:rPr>
                <w:rFonts w:ascii="Verdana" w:hAnsi="Verdana"/>
                <w:i/>
                <w:lang w:val="en-GB"/>
              </w:rPr>
              <w:t xml:space="preserve"> this is really a trade war building up and we want to avoid it.</w:t>
            </w:r>
          </w:p>
          <w:p w:rsidR="000730E2" w:rsidRPr="00DE1C07" w:rsidRDefault="000730E2" w:rsidP="000730E2">
            <w:pPr>
              <w:rPr>
                <w:rFonts w:ascii="Verdana" w:hAnsi="Verdana"/>
                <w:i/>
                <w:lang w:val="en-GB"/>
              </w:rPr>
            </w:pPr>
          </w:p>
          <w:p w:rsidR="000730E2" w:rsidRPr="00DE1C07" w:rsidRDefault="000730E2" w:rsidP="000730E2">
            <w:pPr>
              <w:rPr>
                <w:rFonts w:ascii="Verdana" w:hAnsi="Verdana"/>
                <w:i/>
                <w:lang w:val="en-GB"/>
              </w:rPr>
            </w:pPr>
          </w:p>
        </w:tc>
        <w:tc>
          <w:tcPr>
            <w:tcW w:w="5129" w:type="dxa"/>
          </w:tcPr>
          <w:p w:rsidR="000730E2" w:rsidRPr="00DE1C07" w:rsidRDefault="000730E2" w:rsidP="000730E2">
            <w:pPr>
              <w:rPr>
                <w:rFonts w:ascii="Verdana" w:hAnsi="Verdana"/>
                <w:lang w:val="en-GB"/>
              </w:rPr>
            </w:pPr>
          </w:p>
        </w:tc>
        <w:tc>
          <w:tcPr>
            <w:tcW w:w="5129" w:type="dxa"/>
          </w:tcPr>
          <w:p w:rsidR="000730E2" w:rsidRPr="00DE1C07" w:rsidRDefault="000730E2" w:rsidP="000730E2">
            <w:pPr>
              <w:rPr>
                <w:rFonts w:ascii="Verdana" w:hAnsi="Verdana"/>
                <w:lang w:val="en-GB"/>
              </w:rPr>
            </w:pPr>
            <w:proofErr w:type="gramStart"/>
            <w:r w:rsidRPr="00DE1C07">
              <w:rPr>
                <w:rFonts w:ascii="Verdana" w:hAnsi="Verdana"/>
                <w:lang w:val="en-GB"/>
              </w:rPr>
              <w:t>And</w:t>
            </w:r>
            <w:proofErr w:type="gramEnd"/>
            <w:r w:rsidRPr="00DE1C07">
              <w:rPr>
                <w:rFonts w:ascii="Verdana" w:hAnsi="Verdana"/>
                <w:lang w:val="en-GB"/>
              </w:rPr>
              <w:t xml:space="preserve"> he set out a key EPP Group message for EU citizens.</w:t>
            </w:r>
          </w:p>
        </w:tc>
        <w:tc>
          <w:tcPr>
            <w:tcW w:w="5129" w:type="dxa"/>
          </w:tcPr>
          <w:p w:rsidR="000730E2" w:rsidRPr="00DE1C07" w:rsidRDefault="000730E2" w:rsidP="000730E2">
            <w:pPr>
              <w:rPr>
                <w:rFonts w:ascii="Verdana" w:hAnsi="Verdana"/>
                <w:lang w:val="en-GB"/>
              </w:rPr>
            </w:pPr>
          </w:p>
        </w:tc>
      </w:tr>
      <w:tr w:rsidR="000730E2" w:rsidRPr="00DE1C07" w:rsidTr="000730E2">
        <w:trPr>
          <w:gridAfter w:val="2"/>
          <w:wAfter w:w="10258" w:type="dxa"/>
          <w:cantSplit/>
        </w:trPr>
        <w:tc>
          <w:tcPr>
            <w:tcW w:w="1710" w:type="dxa"/>
          </w:tcPr>
          <w:p w:rsidR="000730E2" w:rsidRPr="00DE1C07" w:rsidRDefault="000730E2" w:rsidP="000730E2">
            <w:pPr>
              <w:rPr>
                <w:rFonts w:ascii="Verdana" w:hAnsi="Verdana"/>
                <w:lang w:val="en-GB"/>
              </w:rPr>
            </w:pPr>
          </w:p>
          <w:p w:rsidR="000730E2" w:rsidRPr="00DE1C07" w:rsidRDefault="000730E2" w:rsidP="000730E2">
            <w:pPr>
              <w:rPr>
                <w:rFonts w:ascii="Verdana" w:hAnsi="Verdana"/>
                <w:lang w:val="en-GB"/>
              </w:rPr>
            </w:pPr>
          </w:p>
          <w:p w:rsidR="000730E2" w:rsidRPr="00DE1C07" w:rsidRDefault="000730E2" w:rsidP="000730E2">
            <w:pPr>
              <w:rPr>
                <w:rFonts w:ascii="Verdana" w:hAnsi="Verdana"/>
                <w:lang w:val="en-GB"/>
              </w:rPr>
            </w:pPr>
          </w:p>
        </w:tc>
        <w:tc>
          <w:tcPr>
            <w:tcW w:w="2104" w:type="dxa"/>
          </w:tcPr>
          <w:p w:rsidR="000730E2" w:rsidRPr="00DE1C07" w:rsidRDefault="000730E2" w:rsidP="000730E2">
            <w:pPr>
              <w:rPr>
                <w:rFonts w:ascii="Verdana" w:hAnsi="Verdana"/>
                <w:lang w:val="en-GB"/>
              </w:rPr>
            </w:pPr>
          </w:p>
        </w:tc>
        <w:tc>
          <w:tcPr>
            <w:tcW w:w="6315" w:type="dxa"/>
          </w:tcPr>
          <w:p w:rsidR="000730E2" w:rsidRPr="00DE1C07" w:rsidRDefault="000730E2" w:rsidP="000730E2">
            <w:pPr>
              <w:rPr>
                <w:rFonts w:ascii="Verdana" w:hAnsi="Verdana"/>
                <w:lang w:val="en-GB"/>
              </w:rPr>
            </w:pPr>
            <w:proofErr w:type="gramStart"/>
            <w:r w:rsidRPr="00DE1C07">
              <w:rPr>
                <w:rFonts w:ascii="Verdana" w:hAnsi="Verdana"/>
                <w:lang w:val="en-GB"/>
              </w:rPr>
              <w:t>And</w:t>
            </w:r>
            <w:proofErr w:type="gramEnd"/>
            <w:r w:rsidRPr="00DE1C07">
              <w:rPr>
                <w:rFonts w:ascii="Verdana" w:hAnsi="Verdana"/>
                <w:lang w:val="en-GB"/>
              </w:rPr>
              <w:t xml:space="preserve"> he set out a key EPP Group message for EU citizens.</w:t>
            </w:r>
          </w:p>
        </w:tc>
        <w:tc>
          <w:tcPr>
            <w:tcW w:w="5129" w:type="dxa"/>
          </w:tcPr>
          <w:p w:rsidR="000730E2" w:rsidRPr="00DE1C07" w:rsidRDefault="000730E2" w:rsidP="000730E2">
            <w:pPr>
              <w:rPr>
                <w:rFonts w:ascii="Verdana" w:hAnsi="Verdana"/>
                <w:lang w:val="en-GB"/>
              </w:rPr>
            </w:pPr>
          </w:p>
        </w:tc>
      </w:tr>
      <w:tr w:rsidR="000730E2" w:rsidRPr="00DE1C07" w:rsidTr="000730E2">
        <w:trPr>
          <w:gridAfter w:val="2"/>
          <w:wAfter w:w="10258" w:type="dxa"/>
          <w:cantSplit/>
        </w:trPr>
        <w:tc>
          <w:tcPr>
            <w:tcW w:w="1710" w:type="dxa"/>
          </w:tcPr>
          <w:p w:rsidR="000730E2" w:rsidRPr="00DE1C07" w:rsidRDefault="000730E2" w:rsidP="000730E2">
            <w:pPr>
              <w:rPr>
                <w:rFonts w:ascii="Verdana" w:hAnsi="Verdana"/>
                <w:lang w:val="en-GB"/>
              </w:rPr>
            </w:pPr>
            <w:r w:rsidRPr="00DE1C07">
              <w:rPr>
                <w:rFonts w:ascii="Verdana" w:hAnsi="Verdana"/>
                <w:lang w:val="en-GB"/>
              </w:rPr>
              <w:t>Interview</w:t>
            </w:r>
          </w:p>
        </w:tc>
        <w:tc>
          <w:tcPr>
            <w:tcW w:w="2104" w:type="dxa"/>
          </w:tcPr>
          <w:p w:rsidR="000730E2" w:rsidRPr="00DE1C07" w:rsidRDefault="000730E2" w:rsidP="000730E2">
            <w:pPr>
              <w:rPr>
                <w:rFonts w:ascii="Verdana" w:hAnsi="Verdana"/>
                <w:lang w:val="en-GB"/>
              </w:rPr>
            </w:pPr>
          </w:p>
          <w:p w:rsidR="000730E2" w:rsidRPr="00DE1C07" w:rsidRDefault="000730E2" w:rsidP="000730E2">
            <w:pPr>
              <w:rPr>
                <w:rFonts w:ascii="Verdana" w:hAnsi="Verdana"/>
                <w:lang w:val="en-GB"/>
              </w:rPr>
            </w:pPr>
          </w:p>
        </w:tc>
        <w:tc>
          <w:tcPr>
            <w:tcW w:w="6315" w:type="dxa"/>
          </w:tcPr>
          <w:p w:rsidR="000730E2" w:rsidRPr="00DE1C07" w:rsidRDefault="000730E2" w:rsidP="000730E2">
            <w:pPr>
              <w:rPr>
                <w:rFonts w:ascii="Verdana" w:hAnsi="Verdana"/>
                <w:i/>
                <w:lang w:val="en-GB"/>
              </w:rPr>
            </w:pPr>
            <w:r w:rsidRPr="00DE1C07">
              <w:rPr>
                <w:rFonts w:ascii="Verdana" w:hAnsi="Verdana"/>
                <w:i/>
                <w:lang w:val="en-GB"/>
              </w:rPr>
              <w:t>4.16-4.38</w:t>
            </w:r>
            <w:bookmarkStart w:id="0" w:name="_GoBack"/>
            <w:bookmarkEnd w:id="0"/>
          </w:p>
          <w:p w:rsidR="000730E2" w:rsidRPr="00DE1C07" w:rsidRDefault="000730E2" w:rsidP="000730E2">
            <w:pPr>
              <w:rPr>
                <w:rFonts w:ascii="Verdana" w:hAnsi="Verdana"/>
                <w:i/>
                <w:lang w:val="en-GB"/>
              </w:rPr>
            </w:pPr>
            <w:r w:rsidRPr="00DE1C07">
              <w:rPr>
                <w:rFonts w:ascii="Verdana" w:hAnsi="Verdana"/>
                <w:i/>
                <w:lang w:val="en-GB"/>
              </w:rPr>
              <w:t xml:space="preserve">We stand strong for our European producers. We will help them and we will protect them against the United States’ sanctions. </w:t>
            </w:r>
            <w:proofErr w:type="gramStart"/>
            <w:r w:rsidRPr="00DE1C07">
              <w:rPr>
                <w:rFonts w:ascii="Verdana" w:hAnsi="Verdana"/>
                <w:i/>
                <w:lang w:val="en-GB"/>
              </w:rPr>
              <w:t>That’s</w:t>
            </w:r>
            <w:proofErr w:type="gramEnd"/>
            <w:r w:rsidRPr="00DE1C07">
              <w:rPr>
                <w:rFonts w:ascii="Verdana" w:hAnsi="Verdana"/>
                <w:i/>
                <w:lang w:val="en-GB"/>
              </w:rPr>
              <w:t xml:space="preserve"> very strong for us. We want our farmers, our small and medium-sized enterprises especially but as well bigger ones, not to be hurt, especially as they are not the cause of the problem. We will help them and we will stand strong for them.</w:t>
            </w:r>
          </w:p>
          <w:p w:rsidR="000730E2" w:rsidRPr="00DE1C07" w:rsidRDefault="000730E2" w:rsidP="000730E2">
            <w:pPr>
              <w:pStyle w:val="paragraph"/>
              <w:textAlignment w:val="baseline"/>
              <w:rPr>
                <w:rFonts w:ascii="Verdana" w:hAnsi="Verdana"/>
              </w:rPr>
            </w:pPr>
          </w:p>
        </w:tc>
        <w:tc>
          <w:tcPr>
            <w:tcW w:w="5129" w:type="dxa"/>
          </w:tcPr>
          <w:p w:rsidR="000730E2" w:rsidRPr="00DE1C07" w:rsidRDefault="000730E2" w:rsidP="000730E2">
            <w:pPr>
              <w:rPr>
                <w:rFonts w:ascii="Verdana" w:hAnsi="Verdana"/>
                <w:lang w:val="en-GB"/>
              </w:rPr>
            </w:pPr>
          </w:p>
        </w:tc>
      </w:tr>
      <w:tr w:rsidR="000730E2" w:rsidRPr="00DE1C07" w:rsidTr="000730E2">
        <w:trPr>
          <w:gridAfter w:val="2"/>
          <w:wAfter w:w="10258" w:type="dxa"/>
          <w:cantSplit/>
        </w:trPr>
        <w:tc>
          <w:tcPr>
            <w:tcW w:w="1710" w:type="dxa"/>
          </w:tcPr>
          <w:p w:rsidR="000730E2" w:rsidRPr="00DE1C07" w:rsidRDefault="000730E2" w:rsidP="000730E2">
            <w:pPr>
              <w:rPr>
                <w:rFonts w:ascii="Verdana" w:hAnsi="Verdana"/>
                <w:lang w:val="en-GB"/>
              </w:rPr>
            </w:pPr>
          </w:p>
        </w:tc>
        <w:tc>
          <w:tcPr>
            <w:tcW w:w="2104" w:type="dxa"/>
          </w:tcPr>
          <w:p w:rsidR="000730E2" w:rsidRPr="00DE1C07" w:rsidRDefault="000730E2" w:rsidP="000730E2">
            <w:pPr>
              <w:rPr>
                <w:rFonts w:ascii="Verdana" w:hAnsi="Verdana"/>
                <w:lang w:val="en-GB"/>
              </w:rPr>
            </w:pPr>
          </w:p>
          <w:p w:rsidR="000730E2" w:rsidRPr="00DE1C07" w:rsidRDefault="000730E2" w:rsidP="000730E2">
            <w:pPr>
              <w:rPr>
                <w:rFonts w:ascii="Verdana" w:hAnsi="Verdana"/>
                <w:lang w:val="en-GB"/>
              </w:rPr>
            </w:pPr>
          </w:p>
        </w:tc>
        <w:tc>
          <w:tcPr>
            <w:tcW w:w="6315" w:type="dxa"/>
          </w:tcPr>
          <w:p w:rsidR="000730E2" w:rsidRPr="00DE1C07" w:rsidRDefault="000730E2" w:rsidP="000730E2">
            <w:pPr>
              <w:rPr>
                <w:rFonts w:ascii="Verdana" w:hAnsi="Verdana"/>
                <w:lang w:val="en-GB"/>
              </w:rPr>
            </w:pPr>
          </w:p>
        </w:tc>
        <w:tc>
          <w:tcPr>
            <w:tcW w:w="5129" w:type="dxa"/>
          </w:tcPr>
          <w:p w:rsidR="000730E2" w:rsidRPr="00DE1C07" w:rsidRDefault="000730E2" w:rsidP="000730E2">
            <w:pPr>
              <w:rPr>
                <w:rFonts w:ascii="Verdana" w:hAnsi="Verdana"/>
                <w:lang w:val="en-GB"/>
              </w:rPr>
            </w:pPr>
          </w:p>
        </w:tc>
      </w:tr>
      <w:tr w:rsidR="000730E2" w:rsidRPr="00DE1C07" w:rsidTr="000730E2">
        <w:trPr>
          <w:gridAfter w:val="2"/>
          <w:wAfter w:w="10258" w:type="dxa"/>
          <w:cantSplit/>
        </w:trPr>
        <w:tc>
          <w:tcPr>
            <w:tcW w:w="1710" w:type="dxa"/>
          </w:tcPr>
          <w:p w:rsidR="000730E2" w:rsidRPr="00DE1C07" w:rsidRDefault="000730E2" w:rsidP="000730E2">
            <w:pPr>
              <w:rPr>
                <w:rFonts w:ascii="Verdana" w:hAnsi="Verdana"/>
                <w:lang w:val="en-GB"/>
              </w:rPr>
            </w:pPr>
            <w:r w:rsidRPr="00DE1C07">
              <w:rPr>
                <w:rFonts w:ascii="Verdana" w:hAnsi="Verdana"/>
                <w:lang w:val="en-GB"/>
              </w:rPr>
              <w:t>Headline</w:t>
            </w:r>
          </w:p>
        </w:tc>
        <w:tc>
          <w:tcPr>
            <w:tcW w:w="2104" w:type="dxa"/>
          </w:tcPr>
          <w:p w:rsidR="000730E2" w:rsidRPr="00DE1C07" w:rsidRDefault="000730E2" w:rsidP="000730E2">
            <w:pPr>
              <w:rPr>
                <w:rFonts w:ascii="Verdana" w:hAnsi="Verdana"/>
                <w:lang w:val="en-GB"/>
              </w:rPr>
            </w:pPr>
          </w:p>
        </w:tc>
        <w:tc>
          <w:tcPr>
            <w:tcW w:w="6315" w:type="dxa"/>
          </w:tcPr>
          <w:p w:rsidR="000730E2" w:rsidRPr="00DE1C07" w:rsidRDefault="000730E2" w:rsidP="000730E2">
            <w:pPr>
              <w:rPr>
                <w:rFonts w:ascii="Verdana" w:hAnsi="Verdana"/>
                <w:i/>
                <w:lang w:val="en-GB"/>
              </w:rPr>
            </w:pPr>
          </w:p>
        </w:tc>
        <w:tc>
          <w:tcPr>
            <w:tcW w:w="5129" w:type="dxa"/>
          </w:tcPr>
          <w:p w:rsidR="000730E2" w:rsidRPr="00DE1C07" w:rsidRDefault="000730E2" w:rsidP="000730E2">
            <w:pPr>
              <w:rPr>
                <w:rFonts w:ascii="Verdana" w:hAnsi="Verdana"/>
                <w:lang w:val="en-GB"/>
              </w:rPr>
            </w:pPr>
          </w:p>
        </w:tc>
      </w:tr>
      <w:tr w:rsidR="000730E2" w:rsidRPr="00DE1C07" w:rsidTr="000730E2">
        <w:trPr>
          <w:gridAfter w:val="2"/>
          <w:wAfter w:w="10258" w:type="dxa"/>
          <w:cantSplit/>
        </w:trPr>
        <w:tc>
          <w:tcPr>
            <w:tcW w:w="1710" w:type="dxa"/>
          </w:tcPr>
          <w:p w:rsidR="000730E2" w:rsidRPr="00DE1C07" w:rsidRDefault="000730E2" w:rsidP="000730E2">
            <w:pPr>
              <w:rPr>
                <w:rFonts w:ascii="Verdana" w:hAnsi="Verdana"/>
                <w:lang w:val="en-GB"/>
              </w:rPr>
            </w:pPr>
            <w:r w:rsidRPr="00DE1C07">
              <w:rPr>
                <w:rFonts w:ascii="Verdana" w:hAnsi="Verdana"/>
                <w:lang w:val="en-GB"/>
              </w:rPr>
              <w:t>Description</w:t>
            </w:r>
          </w:p>
        </w:tc>
        <w:tc>
          <w:tcPr>
            <w:tcW w:w="2104" w:type="dxa"/>
          </w:tcPr>
          <w:p w:rsidR="000730E2" w:rsidRPr="00DE1C07" w:rsidRDefault="000730E2" w:rsidP="000730E2">
            <w:pPr>
              <w:rPr>
                <w:rFonts w:ascii="Verdana" w:hAnsi="Verdana"/>
                <w:lang w:val="en-GB"/>
              </w:rPr>
            </w:pPr>
          </w:p>
        </w:tc>
        <w:tc>
          <w:tcPr>
            <w:tcW w:w="6315" w:type="dxa"/>
          </w:tcPr>
          <w:p w:rsidR="000730E2" w:rsidRPr="00DE1C07" w:rsidRDefault="000730E2" w:rsidP="000730E2">
            <w:pPr>
              <w:rPr>
                <w:rFonts w:ascii="Verdana" w:hAnsi="Verdana"/>
                <w:i/>
                <w:lang w:val="en-GB"/>
              </w:rPr>
            </w:pPr>
          </w:p>
          <w:p w:rsidR="000730E2" w:rsidRPr="00DE1C07" w:rsidRDefault="000730E2" w:rsidP="000730E2">
            <w:pPr>
              <w:rPr>
                <w:rFonts w:ascii="Verdana" w:hAnsi="Verdana"/>
                <w:i/>
                <w:lang w:val="en-GB"/>
              </w:rPr>
            </w:pPr>
          </w:p>
          <w:p w:rsidR="000730E2" w:rsidRPr="00DE1C07" w:rsidRDefault="000730E2" w:rsidP="000730E2">
            <w:pPr>
              <w:rPr>
                <w:rFonts w:ascii="Verdana" w:hAnsi="Verdana"/>
                <w:i/>
                <w:lang w:val="en-GB"/>
              </w:rPr>
            </w:pPr>
          </w:p>
        </w:tc>
        <w:tc>
          <w:tcPr>
            <w:tcW w:w="5129" w:type="dxa"/>
          </w:tcPr>
          <w:p w:rsidR="000730E2" w:rsidRPr="00DE1C07" w:rsidRDefault="000730E2" w:rsidP="000730E2">
            <w:pPr>
              <w:rPr>
                <w:rFonts w:ascii="Verdana" w:hAnsi="Verdana"/>
                <w:lang w:val="en-GB"/>
              </w:rPr>
            </w:pPr>
          </w:p>
        </w:tc>
      </w:tr>
      <w:tr w:rsidR="000730E2" w:rsidRPr="00DE1C07" w:rsidTr="000730E2">
        <w:trPr>
          <w:gridAfter w:val="2"/>
          <w:wAfter w:w="10258" w:type="dxa"/>
          <w:cantSplit/>
        </w:trPr>
        <w:tc>
          <w:tcPr>
            <w:tcW w:w="1710" w:type="dxa"/>
          </w:tcPr>
          <w:p w:rsidR="000730E2" w:rsidRPr="00DE1C07" w:rsidRDefault="000730E2" w:rsidP="000730E2">
            <w:pPr>
              <w:rPr>
                <w:rFonts w:ascii="Verdana" w:hAnsi="Verdana"/>
                <w:lang w:val="en-GB"/>
              </w:rPr>
            </w:pPr>
            <w:r w:rsidRPr="00DE1C07">
              <w:rPr>
                <w:rFonts w:ascii="Verdana" w:hAnsi="Verdana"/>
                <w:lang w:val="en-GB"/>
              </w:rPr>
              <w:t>Tags</w:t>
            </w:r>
          </w:p>
        </w:tc>
        <w:tc>
          <w:tcPr>
            <w:tcW w:w="2104" w:type="dxa"/>
          </w:tcPr>
          <w:p w:rsidR="000730E2" w:rsidRPr="00DE1C07" w:rsidRDefault="000730E2" w:rsidP="000730E2">
            <w:pPr>
              <w:rPr>
                <w:rFonts w:ascii="Verdana" w:hAnsi="Verdana"/>
                <w:lang w:val="en-GB"/>
              </w:rPr>
            </w:pPr>
          </w:p>
        </w:tc>
        <w:tc>
          <w:tcPr>
            <w:tcW w:w="6315" w:type="dxa"/>
          </w:tcPr>
          <w:p w:rsidR="000730E2" w:rsidRPr="00DE1C07" w:rsidRDefault="000730E2" w:rsidP="000730E2">
            <w:pPr>
              <w:rPr>
                <w:rFonts w:ascii="Verdana" w:hAnsi="Verdana"/>
                <w:lang w:val="en-GB"/>
              </w:rPr>
            </w:pPr>
            <w:r w:rsidRPr="00DE1C07">
              <w:rPr>
                <w:rFonts w:ascii="Verdana" w:hAnsi="Verdana"/>
                <w:lang w:val="en-GB"/>
              </w:rPr>
              <w:t>EU-US trade, Christophe Hansen, EPP Group, European Parliament, EU</w:t>
            </w:r>
          </w:p>
        </w:tc>
        <w:tc>
          <w:tcPr>
            <w:tcW w:w="5129" w:type="dxa"/>
          </w:tcPr>
          <w:p w:rsidR="000730E2" w:rsidRPr="00DE1C07" w:rsidRDefault="000730E2" w:rsidP="000730E2">
            <w:pPr>
              <w:rPr>
                <w:rFonts w:ascii="Verdana" w:hAnsi="Verdana"/>
                <w:lang w:val="en-GB"/>
              </w:rPr>
            </w:pPr>
          </w:p>
        </w:tc>
      </w:tr>
      <w:tr w:rsidR="000730E2" w:rsidRPr="00DE1C07" w:rsidTr="000730E2">
        <w:trPr>
          <w:gridAfter w:val="2"/>
          <w:wAfter w:w="10258" w:type="dxa"/>
          <w:cantSplit/>
        </w:trPr>
        <w:tc>
          <w:tcPr>
            <w:tcW w:w="1710" w:type="dxa"/>
          </w:tcPr>
          <w:p w:rsidR="000730E2" w:rsidRPr="00DE1C07" w:rsidRDefault="000730E2" w:rsidP="000730E2">
            <w:pPr>
              <w:rPr>
                <w:rFonts w:ascii="Verdana" w:hAnsi="Verdana"/>
                <w:lang w:val="en-GB"/>
              </w:rPr>
            </w:pPr>
            <w:r w:rsidRPr="00DE1C07">
              <w:rPr>
                <w:rFonts w:ascii="Verdana" w:hAnsi="Verdana"/>
                <w:lang w:val="en-GB"/>
              </w:rPr>
              <w:t>TITLES</w:t>
            </w:r>
          </w:p>
        </w:tc>
        <w:tc>
          <w:tcPr>
            <w:tcW w:w="2104" w:type="dxa"/>
          </w:tcPr>
          <w:p w:rsidR="000730E2" w:rsidRPr="00DE1C07" w:rsidRDefault="000730E2" w:rsidP="000730E2">
            <w:pPr>
              <w:rPr>
                <w:rFonts w:ascii="Verdana" w:hAnsi="Verdana"/>
                <w:lang w:val="en-GB"/>
              </w:rPr>
            </w:pPr>
            <w:r w:rsidRPr="00DE1C07">
              <w:rPr>
                <w:rFonts w:ascii="Verdana" w:hAnsi="Verdana"/>
                <w:lang w:val="en-GB"/>
              </w:rPr>
              <w:t>TITLES</w:t>
            </w:r>
          </w:p>
        </w:tc>
        <w:tc>
          <w:tcPr>
            <w:tcW w:w="6315" w:type="dxa"/>
          </w:tcPr>
          <w:p w:rsidR="000730E2" w:rsidRPr="00DE1C07" w:rsidRDefault="000730E2" w:rsidP="000730E2">
            <w:pPr>
              <w:rPr>
                <w:rFonts w:ascii="Verdana" w:hAnsi="Verdana"/>
                <w:lang w:val="en-GB"/>
              </w:rPr>
            </w:pPr>
            <w:r w:rsidRPr="00DE1C07">
              <w:rPr>
                <w:rFonts w:ascii="Verdana" w:hAnsi="Verdana"/>
                <w:lang w:val="en-GB"/>
              </w:rPr>
              <w:t>TITLES</w:t>
            </w:r>
          </w:p>
        </w:tc>
        <w:tc>
          <w:tcPr>
            <w:tcW w:w="5129" w:type="dxa"/>
          </w:tcPr>
          <w:p w:rsidR="000730E2" w:rsidRPr="00DE1C07" w:rsidRDefault="000730E2" w:rsidP="000730E2">
            <w:pPr>
              <w:rPr>
                <w:rFonts w:ascii="Verdana" w:hAnsi="Verdana"/>
                <w:lang w:val="en-GB"/>
              </w:rPr>
            </w:pPr>
            <w:r w:rsidRPr="00DE1C07">
              <w:rPr>
                <w:rFonts w:ascii="Verdana" w:hAnsi="Verdana"/>
                <w:lang w:val="en-GB"/>
              </w:rPr>
              <w:t>TITLES</w:t>
            </w:r>
          </w:p>
        </w:tc>
      </w:tr>
    </w:tbl>
    <w:p w:rsidR="009C4F15" w:rsidRPr="00DE1C07" w:rsidRDefault="009C4F15">
      <w:pPr>
        <w:rPr>
          <w:rFonts w:ascii="Verdana" w:hAnsi="Verdana"/>
          <w:lang w:val="en-GB"/>
        </w:rPr>
      </w:pPr>
    </w:p>
    <w:p w:rsidR="009C4F15" w:rsidRPr="00DE1C07" w:rsidRDefault="009C4F15">
      <w:pPr>
        <w:rPr>
          <w:rFonts w:ascii="Verdana" w:hAnsi="Verdana"/>
          <w:lang w:val="en-GB"/>
        </w:rPr>
      </w:pPr>
    </w:p>
    <w:p w:rsidR="009C4F15" w:rsidRPr="00DE1C07" w:rsidRDefault="009C4F15">
      <w:pPr>
        <w:rPr>
          <w:rFonts w:ascii="Verdana" w:hAnsi="Verdana"/>
          <w:lang w:val="en-GB"/>
        </w:rPr>
      </w:pPr>
    </w:p>
    <w:sectPr w:rsidR="009C4F15" w:rsidRPr="00DE1C07" w:rsidSect="009C4F15">
      <w:headerReference w:type="default" r:id="rId6"/>
      <w:footerReference w:type="default" r:id="rId7"/>
      <w:type w:val="continuous"/>
      <w:pgSz w:w="16838" w:h="11906" w:orient="landscape" w:code="9"/>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15" w:rsidRDefault="009C4F15">
      <w:r>
        <w:separator/>
      </w:r>
    </w:p>
  </w:endnote>
  <w:endnote w:type="continuationSeparator" w:id="0">
    <w:p w:rsidR="009C4F15" w:rsidRDefault="009C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15" w:rsidRPr="00AB2B45" w:rsidRDefault="009C4F15">
    <w:pPr>
      <w:pStyle w:val="Footer"/>
      <w:jc w:val="center"/>
      <w:rPr>
        <w:rFonts w:ascii="Verdana" w:hAnsi="Verdana"/>
      </w:rPr>
    </w:pPr>
    <w:r w:rsidRPr="00AB2B45">
      <w:rPr>
        <w:rFonts w:ascii="Verdana" w:hAnsi="Verdana"/>
      </w:rPr>
      <w:fldChar w:fldCharType="begin"/>
    </w:r>
    <w:r w:rsidRPr="00AB2B45">
      <w:rPr>
        <w:rFonts w:ascii="Verdana" w:hAnsi="Verdana"/>
      </w:rPr>
      <w:instrText xml:space="preserve"> PAGE   \* MERGEFORMAT </w:instrText>
    </w:r>
    <w:r w:rsidRPr="00AB2B45">
      <w:rPr>
        <w:rFonts w:ascii="Verdana" w:hAnsi="Verdana"/>
      </w:rPr>
      <w:fldChar w:fldCharType="separate"/>
    </w:r>
    <w:r w:rsidR="00DE1C07">
      <w:rPr>
        <w:rFonts w:ascii="Verdana" w:hAnsi="Verdana"/>
        <w:noProof/>
      </w:rPr>
      <w:t>3</w:t>
    </w:r>
    <w:r w:rsidRPr="00AB2B45">
      <w:rPr>
        <w:rFonts w:ascii="Verdana" w:hAnsi="Verdana"/>
      </w:rPr>
      <w:fldChar w:fldCharType="end"/>
    </w:r>
  </w:p>
  <w:p w:rsidR="009C4F15" w:rsidRDefault="009C4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15" w:rsidRDefault="009C4F15">
      <w:r>
        <w:separator/>
      </w:r>
    </w:p>
  </w:footnote>
  <w:footnote w:type="continuationSeparator" w:id="0">
    <w:p w:rsidR="009C4F15" w:rsidRDefault="009C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15" w:rsidRPr="00740457" w:rsidRDefault="009C4F15">
    <w:pPr>
      <w:pStyle w:val="Header"/>
      <w:rPr>
        <w:rFonts w:ascii="Verdana" w:hAnsi="Verdana"/>
        <w:b/>
        <w:lang w:val="en-GB"/>
      </w:rPr>
    </w:pPr>
    <w:r>
      <w:rPr>
        <w:rFonts w:ascii="Verdana" w:hAnsi="Verdana"/>
        <w:b/>
        <w:lang w:val="en-GB"/>
      </w:rPr>
      <w:t xml:space="preserve">On the Spot: </w:t>
    </w:r>
    <w:r w:rsidR="002C1716">
      <w:rPr>
        <w:rFonts w:ascii="Verdana" w:hAnsi="Verdana"/>
        <w:b/>
        <w:lang w:val="en-GB"/>
      </w:rPr>
      <w:t>Hansen on EU-US trade dispute</w:t>
    </w:r>
  </w:p>
  <w:p w:rsidR="009C4F15" w:rsidRPr="00740457" w:rsidRDefault="009C4F15">
    <w:pPr>
      <w:pStyle w:val="Header"/>
      <w:rPr>
        <w:rFonts w:ascii="Verdana" w:hAnsi="Verdana"/>
        <w:b/>
        <w:lang w:val="en-GB"/>
      </w:rPr>
    </w:pPr>
    <w:r w:rsidRPr="00740457">
      <w:rPr>
        <w:rFonts w:ascii="Verdana" w:hAnsi="Verdana"/>
        <w:b/>
        <w:lang w:val="en-GB"/>
      </w:rPr>
      <w:t>Date:</w:t>
    </w:r>
    <w:r>
      <w:rPr>
        <w:rFonts w:ascii="Verdana" w:hAnsi="Verdana"/>
        <w:b/>
        <w:lang w:val="en-GB"/>
      </w:rPr>
      <w:t xml:space="preserve"> </w:t>
    </w:r>
    <w:r w:rsidR="002C1716">
      <w:rPr>
        <w:rFonts w:ascii="Verdana" w:hAnsi="Verdana"/>
        <w:b/>
        <w:lang w:val="en-GB"/>
      </w:rPr>
      <w:t>20191010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FE"/>
    <w:rsid w:val="000730E2"/>
    <w:rsid w:val="0007412E"/>
    <w:rsid w:val="001301C8"/>
    <w:rsid w:val="001949D6"/>
    <w:rsid w:val="001E561A"/>
    <w:rsid w:val="00207962"/>
    <w:rsid w:val="0021120A"/>
    <w:rsid w:val="00237A3C"/>
    <w:rsid w:val="002C1716"/>
    <w:rsid w:val="003119FE"/>
    <w:rsid w:val="00367D91"/>
    <w:rsid w:val="00392767"/>
    <w:rsid w:val="003D4E66"/>
    <w:rsid w:val="004179CE"/>
    <w:rsid w:val="004D407C"/>
    <w:rsid w:val="00502DCE"/>
    <w:rsid w:val="005302B2"/>
    <w:rsid w:val="00600999"/>
    <w:rsid w:val="0068636C"/>
    <w:rsid w:val="00687F53"/>
    <w:rsid w:val="006B6533"/>
    <w:rsid w:val="00752276"/>
    <w:rsid w:val="007B7946"/>
    <w:rsid w:val="00821427"/>
    <w:rsid w:val="008921BA"/>
    <w:rsid w:val="008C4620"/>
    <w:rsid w:val="00957366"/>
    <w:rsid w:val="009C4F15"/>
    <w:rsid w:val="00C40D87"/>
    <w:rsid w:val="00C7407F"/>
    <w:rsid w:val="00D61442"/>
    <w:rsid w:val="00DE1C07"/>
    <w:rsid w:val="00ED2404"/>
    <w:rsid w:val="00F1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216F23-BA71-45F7-8840-BFC38090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7E73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berschrift114ptFettNichtKursiv">
    <w:name w:val="Formatvorlage Überschrift 1 + 14 pt Fett Nicht Kursiv"/>
    <w:basedOn w:val="Heading1"/>
    <w:rsid w:val="007E7366"/>
    <w:pPr>
      <w:widowControl w:val="0"/>
      <w:tabs>
        <w:tab w:val="left" w:pos="3591"/>
      </w:tabs>
      <w:autoSpaceDE w:val="0"/>
      <w:autoSpaceDN w:val="0"/>
      <w:spacing w:before="0" w:after="0" w:line="324" w:lineRule="atLeast"/>
      <w:ind w:right="72" w:firstLine="1296"/>
    </w:pPr>
    <w:rPr>
      <w:spacing w:val="-18"/>
      <w:kern w:val="0"/>
      <w:sz w:val="28"/>
      <w:szCs w:val="16"/>
    </w:rPr>
  </w:style>
  <w:style w:type="table" w:styleId="TableGrid">
    <w:name w:val="Table Grid"/>
    <w:basedOn w:val="TableNormal"/>
    <w:rsid w:val="0031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19FE"/>
    <w:pPr>
      <w:tabs>
        <w:tab w:val="center" w:pos="4536"/>
        <w:tab w:val="right" w:pos="9072"/>
      </w:tabs>
    </w:pPr>
  </w:style>
  <w:style w:type="paragraph" w:styleId="Footer">
    <w:name w:val="footer"/>
    <w:basedOn w:val="Normal"/>
    <w:link w:val="FooterChar"/>
    <w:uiPriority w:val="99"/>
    <w:rsid w:val="003119FE"/>
    <w:pPr>
      <w:tabs>
        <w:tab w:val="center" w:pos="4536"/>
        <w:tab w:val="right" w:pos="9072"/>
      </w:tabs>
    </w:pPr>
  </w:style>
  <w:style w:type="character" w:customStyle="1" w:styleId="FooterChar">
    <w:name w:val="Footer Char"/>
    <w:link w:val="Footer"/>
    <w:uiPriority w:val="99"/>
    <w:rsid w:val="00AB2B45"/>
    <w:rPr>
      <w:sz w:val="24"/>
      <w:szCs w:val="24"/>
      <w:lang w:val="de-DE" w:eastAsia="de-DE"/>
    </w:rPr>
  </w:style>
  <w:style w:type="paragraph" w:styleId="BalloonText">
    <w:name w:val="Balloon Text"/>
    <w:basedOn w:val="Normal"/>
    <w:semiHidden/>
    <w:rsid w:val="00ED5590"/>
    <w:rPr>
      <w:rFonts w:ascii="Tahoma" w:hAnsi="Tahoma" w:cs="Tahoma"/>
      <w:sz w:val="16"/>
      <w:szCs w:val="16"/>
    </w:rPr>
  </w:style>
  <w:style w:type="character" w:styleId="Hyperlink">
    <w:name w:val="Hyperlink"/>
    <w:rsid w:val="000970FA"/>
    <w:rPr>
      <w:color w:val="0000FF"/>
      <w:u w:val="single"/>
    </w:rPr>
  </w:style>
  <w:style w:type="character" w:styleId="Strong">
    <w:name w:val="Strong"/>
    <w:qFormat/>
    <w:rsid w:val="00AE7178"/>
    <w:rPr>
      <w:b/>
      <w:bCs/>
    </w:rPr>
  </w:style>
  <w:style w:type="paragraph" w:customStyle="1" w:styleId="paragraph">
    <w:name w:val="paragraph"/>
    <w:basedOn w:val="Normal"/>
    <w:rsid w:val="00367D91"/>
    <w:pPr>
      <w:spacing w:before="100" w:beforeAutospacing="1" w:after="100" w:afterAutospacing="1"/>
    </w:pPr>
    <w:rPr>
      <w:lang w:val="en-GB" w:eastAsia="en-GB"/>
    </w:rPr>
  </w:style>
  <w:style w:type="character" w:customStyle="1" w:styleId="normaltextrun">
    <w:name w:val="normaltextrun"/>
    <w:basedOn w:val="DefaultParagraphFont"/>
    <w:rsid w:val="00367D91"/>
  </w:style>
  <w:style w:type="character" w:customStyle="1" w:styleId="eop">
    <w:name w:val="eop"/>
    <w:basedOn w:val="DefaultParagraphFont"/>
    <w:rsid w:val="0036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4233">
      <w:bodyDiv w:val="1"/>
      <w:marLeft w:val="0"/>
      <w:marRight w:val="0"/>
      <w:marTop w:val="0"/>
      <w:marBottom w:val="0"/>
      <w:divBdr>
        <w:top w:val="none" w:sz="0" w:space="0" w:color="auto"/>
        <w:left w:val="none" w:sz="0" w:space="0" w:color="auto"/>
        <w:bottom w:val="none" w:sz="0" w:space="0" w:color="auto"/>
        <w:right w:val="none" w:sz="0" w:space="0" w:color="auto"/>
      </w:divBdr>
    </w:div>
    <w:div w:id="107286551">
      <w:bodyDiv w:val="1"/>
      <w:marLeft w:val="0"/>
      <w:marRight w:val="0"/>
      <w:marTop w:val="0"/>
      <w:marBottom w:val="0"/>
      <w:divBdr>
        <w:top w:val="none" w:sz="0" w:space="0" w:color="auto"/>
        <w:left w:val="none" w:sz="0" w:space="0" w:color="auto"/>
        <w:bottom w:val="none" w:sz="0" w:space="0" w:color="auto"/>
        <w:right w:val="none" w:sz="0" w:space="0" w:color="auto"/>
      </w:divBdr>
    </w:div>
    <w:div w:id="207570969">
      <w:bodyDiv w:val="1"/>
      <w:marLeft w:val="0"/>
      <w:marRight w:val="0"/>
      <w:marTop w:val="0"/>
      <w:marBottom w:val="0"/>
      <w:divBdr>
        <w:top w:val="none" w:sz="0" w:space="0" w:color="auto"/>
        <w:left w:val="none" w:sz="0" w:space="0" w:color="auto"/>
        <w:bottom w:val="none" w:sz="0" w:space="0" w:color="auto"/>
        <w:right w:val="none" w:sz="0" w:space="0" w:color="auto"/>
      </w:divBdr>
      <w:divsChild>
        <w:div w:id="1766995471">
          <w:marLeft w:val="0"/>
          <w:marRight w:val="0"/>
          <w:marTop w:val="0"/>
          <w:marBottom w:val="0"/>
          <w:divBdr>
            <w:top w:val="none" w:sz="0" w:space="0" w:color="auto"/>
            <w:left w:val="none" w:sz="0" w:space="0" w:color="auto"/>
            <w:bottom w:val="none" w:sz="0" w:space="0" w:color="auto"/>
            <w:right w:val="none" w:sz="0" w:space="0" w:color="auto"/>
          </w:divBdr>
        </w:div>
        <w:div w:id="1780025101">
          <w:marLeft w:val="0"/>
          <w:marRight w:val="0"/>
          <w:marTop w:val="0"/>
          <w:marBottom w:val="0"/>
          <w:divBdr>
            <w:top w:val="none" w:sz="0" w:space="0" w:color="auto"/>
            <w:left w:val="none" w:sz="0" w:space="0" w:color="auto"/>
            <w:bottom w:val="none" w:sz="0" w:space="0" w:color="auto"/>
            <w:right w:val="none" w:sz="0" w:space="0" w:color="auto"/>
          </w:divBdr>
        </w:div>
      </w:divsChild>
    </w:div>
    <w:div w:id="210505803">
      <w:bodyDiv w:val="1"/>
      <w:marLeft w:val="0"/>
      <w:marRight w:val="0"/>
      <w:marTop w:val="0"/>
      <w:marBottom w:val="0"/>
      <w:divBdr>
        <w:top w:val="none" w:sz="0" w:space="0" w:color="auto"/>
        <w:left w:val="none" w:sz="0" w:space="0" w:color="auto"/>
        <w:bottom w:val="none" w:sz="0" w:space="0" w:color="auto"/>
        <w:right w:val="none" w:sz="0" w:space="0" w:color="auto"/>
      </w:divBdr>
      <w:divsChild>
        <w:div w:id="843743117">
          <w:marLeft w:val="0"/>
          <w:marRight w:val="0"/>
          <w:marTop w:val="0"/>
          <w:marBottom w:val="0"/>
          <w:divBdr>
            <w:top w:val="none" w:sz="0" w:space="0" w:color="auto"/>
            <w:left w:val="none" w:sz="0" w:space="0" w:color="auto"/>
            <w:bottom w:val="none" w:sz="0" w:space="0" w:color="auto"/>
            <w:right w:val="none" w:sz="0" w:space="0" w:color="auto"/>
          </w:divBdr>
        </w:div>
        <w:div w:id="1963730700">
          <w:marLeft w:val="0"/>
          <w:marRight w:val="0"/>
          <w:marTop w:val="0"/>
          <w:marBottom w:val="0"/>
          <w:divBdr>
            <w:top w:val="none" w:sz="0" w:space="0" w:color="auto"/>
            <w:left w:val="none" w:sz="0" w:space="0" w:color="auto"/>
            <w:bottom w:val="none" w:sz="0" w:space="0" w:color="auto"/>
            <w:right w:val="none" w:sz="0" w:space="0" w:color="auto"/>
          </w:divBdr>
        </w:div>
      </w:divsChild>
    </w:div>
    <w:div w:id="385766325">
      <w:bodyDiv w:val="1"/>
      <w:marLeft w:val="0"/>
      <w:marRight w:val="0"/>
      <w:marTop w:val="0"/>
      <w:marBottom w:val="0"/>
      <w:divBdr>
        <w:top w:val="none" w:sz="0" w:space="0" w:color="auto"/>
        <w:left w:val="none" w:sz="0" w:space="0" w:color="auto"/>
        <w:bottom w:val="none" w:sz="0" w:space="0" w:color="auto"/>
        <w:right w:val="none" w:sz="0" w:space="0" w:color="auto"/>
      </w:divBdr>
      <w:divsChild>
        <w:div w:id="1870293338">
          <w:marLeft w:val="0"/>
          <w:marRight w:val="0"/>
          <w:marTop w:val="0"/>
          <w:marBottom w:val="0"/>
          <w:divBdr>
            <w:top w:val="none" w:sz="0" w:space="0" w:color="auto"/>
            <w:left w:val="none" w:sz="0" w:space="0" w:color="auto"/>
            <w:bottom w:val="none" w:sz="0" w:space="0" w:color="auto"/>
            <w:right w:val="none" w:sz="0" w:space="0" w:color="auto"/>
          </w:divBdr>
        </w:div>
        <w:div w:id="1019040407">
          <w:marLeft w:val="0"/>
          <w:marRight w:val="0"/>
          <w:marTop w:val="0"/>
          <w:marBottom w:val="0"/>
          <w:divBdr>
            <w:top w:val="none" w:sz="0" w:space="0" w:color="auto"/>
            <w:left w:val="none" w:sz="0" w:space="0" w:color="auto"/>
            <w:bottom w:val="none" w:sz="0" w:space="0" w:color="auto"/>
            <w:right w:val="none" w:sz="0" w:space="0" w:color="auto"/>
          </w:divBdr>
        </w:div>
      </w:divsChild>
    </w:div>
    <w:div w:id="479540364">
      <w:bodyDiv w:val="1"/>
      <w:marLeft w:val="0"/>
      <w:marRight w:val="0"/>
      <w:marTop w:val="0"/>
      <w:marBottom w:val="0"/>
      <w:divBdr>
        <w:top w:val="none" w:sz="0" w:space="0" w:color="auto"/>
        <w:left w:val="none" w:sz="0" w:space="0" w:color="auto"/>
        <w:bottom w:val="none" w:sz="0" w:space="0" w:color="auto"/>
        <w:right w:val="none" w:sz="0" w:space="0" w:color="auto"/>
      </w:divBdr>
    </w:div>
    <w:div w:id="884871818">
      <w:bodyDiv w:val="1"/>
      <w:marLeft w:val="0"/>
      <w:marRight w:val="0"/>
      <w:marTop w:val="0"/>
      <w:marBottom w:val="0"/>
      <w:divBdr>
        <w:top w:val="none" w:sz="0" w:space="0" w:color="auto"/>
        <w:left w:val="none" w:sz="0" w:space="0" w:color="auto"/>
        <w:bottom w:val="none" w:sz="0" w:space="0" w:color="auto"/>
        <w:right w:val="none" w:sz="0" w:space="0" w:color="auto"/>
      </w:divBdr>
      <w:divsChild>
        <w:div w:id="213346274">
          <w:marLeft w:val="0"/>
          <w:marRight w:val="0"/>
          <w:marTop w:val="0"/>
          <w:marBottom w:val="0"/>
          <w:divBdr>
            <w:top w:val="none" w:sz="0" w:space="0" w:color="auto"/>
            <w:left w:val="none" w:sz="0" w:space="0" w:color="auto"/>
            <w:bottom w:val="none" w:sz="0" w:space="0" w:color="auto"/>
            <w:right w:val="none" w:sz="0" w:space="0" w:color="auto"/>
          </w:divBdr>
        </w:div>
        <w:div w:id="2052417418">
          <w:marLeft w:val="0"/>
          <w:marRight w:val="0"/>
          <w:marTop w:val="0"/>
          <w:marBottom w:val="0"/>
          <w:divBdr>
            <w:top w:val="none" w:sz="0" w:space="0" w:color="auto"/>
            <w:left w:val="none" w:sz="0" w:space="0" w:color="auto"/>
            <w:bottom w:val="none" w:sz="0" w:space="0" w:color="auto"/>
            <w:right w:val="none" w:sz="0" w:space="0" w:color="auto"/>
          </w:divBdr>
        </w:div>
      </w:divsChild>
    </w:div>
    <w:div w:id="953637924">
      <w:bodyDiv w:val="1"/>
      <w:marLeft w:val="0"/>
      <w:marRight w:val="0"/>
      <w:marTop w:val="0"/>
      <w:marBottom w:val="0"/>
      <w:divBdr>
        <w:top w:val="none" w:sz="0" w:space="0" w:color="auto"/>
        <w:left w:val="none" w:sz="0" w:space="0" w:color="auto"/>
        <w:bottom w:val="none" w:sz="0" w:space="0" w:color="auto"/>
        <w:right w:val="none" w:sz="0" w:space="0" w:color="auto"/>
      </w:divBdr>
    </w:div>
    <w:div w:id="1246957551">
      <w:bodyDiv w:val="1"/>
      <w:marLeft w:val="0"/>
      <w:marRight w:val="0"/>
      <w:marTop w:val="0"/>
      <w:marBottom w:val="0"/>
      <w:divBdr>
        <w:top w:val="none" w:sz="0" w:space="0" w:color="auto"/>
        <w:left w:val="none" w:sz="0" w:space="0" w:color="auto"/>
        <w:bottom w:val="none" w:sz="0" w:space="0" w:color="auto"/>
        <w:right w:val="none" w:sz="0" w:space="0" w:color="auto"/>
      </w:divBdr>
      <w:divsChild>
        <w:div w:id="1756127267">
          <w:marLeft w:val="0"/>
          <w:marRight w:val="0"/>
          <w:marTop w:val="0"/>
          <w:marBottom w:val="0"/>
          <w:divBdr>
            <w:top w:val="none" w:sz="0" w:space="0" w:color="auto"/>
            <w:left w:val="none" w:sz="0" w:space="0" w:color="auto"/>
            <w:bottom w:val="none" w:sz="0" w:space="0" w:color="auto"/>
            <w:right w:val="none" w:sz="0" w:space="0" w:color="auto"/>
          </w:divBdr>
        </w:div>
      </w:divsChild>
    </w:div>
    <w:div w:id="1381049769">
      <w:bodyDiv w:val="1"/>
      <w:marLeft w:val="0"/>
      <w:marRight w:val="0"/>
      <w:marTop w:val="0"/>
      <w:marBottom w:val="0"/>
      <w:divBdr>
        <w:top w:val="none" w:sz="0" w:space="0" w:color="auto"/>
        <w:left w:val="none" w:sz="0" w:space="0" w:color="auto"/>
        <w:bottom w:val="none" w:sz="0" w:space="0" w:color="auto"/>
        <w:right w:val="none" w:sz="0" w:space="0" w:color="auto"/>
      </w:divBdr>
      <w:divsChild>
        <w:div w:id="2126998669">
          <w:marLeft w:val="0"/>
          <w:marRight w:val="0"/>
          <w:marTop w:val="0"/>
          <w:marBottom w:val="0"/>
          <w:divBdr>
            <w:top w:val="none" w:sz="0" w:space="0" w:color="auto"/>
            <w:left w:val="none" w:sz="0" w:space="0" w:color="auto"/>
            <w:bottom w:val="none" w:sz="0" w:space="0" w:color="auto"/>
            <w:right w:val="none" w:sz="0" w:space="0" w:color="auto"/>
          </w:divBdr>
        </w:div>
        <w:div w:id="11895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352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EPP-ED Template</vt:lpstr>
    </vt:vector>
  </TitlesOfParts>
  <Company>European Parliament</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EPP-ED Template</dc:title>
  <dc:creator>bmueller</dc:creator>
  <cp:lastModifiedBy>MATTHYS Evelyne</cp:lastModifiedBy>
  <cp:revision>6</cp:revision>
  <cp:lastPrinted>2010-06-16T07:51:00Z</cp:lastPrinted>
  <dcterms:created xsi:type="dcterms:W3CDTF">2019-10-10T08:53:00Z</dcterms:created>
  <dcterms:modified xsi:type="dcterms:W3CDTF">2019-10-10T11:13:00Z</dcterms:modified>
</cp:coreProperties>
</file>