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C2FAE" w14:textId="77777777" w:rsidR="005B2EA4" w:rsidRDefault="00252872">
      <w:pPr>
        <w:spacing w:line="260" w:lineRule="exact"/>
        <w:rPr>
          <w:rFonts w:ascii="Verdana" w:eastAsia="Times New Roman" w:hAnsi="Verdana" w:cs="Open Sans"/>
          <w:b/>
          <w:bCs/>
          <w:sz w:val="22"/>
          <w:szCs w:val="22"/>
          <w:lang w:val="en-US" w:eastAsia="it-IT"/>
        </w:rPr>
      </w:pPr>
      <w:r>
        <w:rPr>
          <w:rFonts w:ascii="Verdana" w:eastAsia="Times New Roman" w:hAnsi="Verdana" w:cs="Open Sans"/>
          <w:b/>
          <w:bCs/>
          <w:sz w:val="22"/>
          <w:szCs w:val="22"/>
          <w:lang w:val="en-US" w:eastAsia="it-IT"/>
        </w:rPr>
        <w:t xml:space="preserve">Internationaler </w:t>
      </w:r>
      <w:r w:rsidR="0066513A">
        <w:rPr>
          <w:rFonts w:ascii="Verdana" w:eastAsia="Times New Roman" w:hAnsi="Verdana" w:cs="Open Sans"/>
          <w:b/>
          <w:bCs/>
          <w:sz w:val="22"/>
          <w:szCs w:val="22"/>
          <w:lang w:val="en-US" w:eastAsia="it-IT"/>
        </w:rPr>
        <w:t xml:space="preserve">Designpreis </w:t>
      </w:r>
      <w:r>
        <w:rPr>
          <w:rFonts w:ascii="Verdana" w:eastAsia="Times New Roman" w:hAnsi="Verdana" w:cs="Open Sans"/>
          <w:b/>
          <w:bCs/>
          <w:sz w:val="22"/>
          <w:szCs w:val="22"/>
          <w:lang w:val="en-US" w:eastAsia="it-IT"/>
        </w:rPr>
        <w:t xml:space="preserve">für Axial-Flow-Mähdrescher </w:t>
      </w:r>
      <w:r w:rsidR="004B591B">
        <w:rPr>
          <w:rFonts w:ascii="Verdana" w:eastAsia="Times New Roman" w:hAnsi="Verdana" w:cs="Open Sans"/>
          <w:b/>
          <w:bCs/>
          <w:sz w:val="22"/>
          <w:szCs w:val="22"/>
          <w:lang w:val="en-US" w:eastAsia="it-IT"/>
        </w:rPr>
        <w:t xml:space="preserve">der nächsten Generation </w:t>
      </w:r>
    </w:p>
    <w:p w14:paraId="78109093" w14:textId="77777777" w:rsidR="004334B5" w:rsidRPr="005A090D" w:rsidRDefault="004334B5" w:rsidP="009E3FC3">
      <w:pPr>
        <w:spacing w:line="260" w:lineRule="exact"/>
        <w:rPr>
          <w:rFonts w:ascii="Verdana" w:eastAsia="Times New Roman" w:hAnsi="Verdana" w:cs="Open Sans"/>
          <w:sz w:val="19"/>
          <w:szCs w:val="19"/>
          <w:lang w:val="en-US" w:eastAsia="it-IT"/>
        </w:rPr>
      </w:pPr>
    </w:p>
    <w:p w14:paraId="265E2B10" w14:textId="77777777" w:rsidR="005B2EA4" w:rsidRDefault="00252872">
      <w:pPr>
        <w:spacing w:line="260" w:lineRule="exact"/>
        <w:rPr>
          <w:rFonts w:ascii="Verdana" w:eastAsia="Times New Roman" w:hAnsi="Verdana" w:cs="Open Sans"/>
          <w:i/>
          <w:sz w:val="19"/>
          <w:szCs w:val="19"/>
          <w:lang w:val="en-US" w:eastAsia="it-IT"/>
        </w:rPr>
      </w:pPr>
      <w:r>
        <w:rPr>
          <w:rFonts w:ascii="Verdana" w:eastAsia="Times New Roman" w:hAnsi="Verdana" w:cs="Open Sans"/>
          <w:i/>
          <w:sz w:val="19"/>
          <w:szCs w:val="19"/>
          <w:lang w:val="en-US" w:eastAsia="it-IT"/>
        </w:rPr>
        <w:t xml:space="preserve">Neuer AF-Mähdrescher gewinnt Red Dot Design Award / Interne Neugestaltung bringt Axial-Flow-Konzept auf nächste Kapazitätsstufe / Äußeres Restyling schafft futuristisches neues Aussehen / </w:t>
      </w:r>
    </w:p>
    <w:p w14:paraId="1544D495" w14:textId="77777777" w:rsidR="00CE308B" w:rsidRPr="005A090D" w:rsidRDefault="00CE308B" w:rsidP="009E3FC3">
      <w:pPr>
        <w:spacing w:line="260" w:lineRule="exact"/>
        <w:rPr>
          <w:rFonts w:ascii="Verdana" w:eastAsia="Times New Roman" w:hAnsi="Verdana" w:cs="Open Sans"/>
          <w:sz w:val="19"/>
          <w:szCs w:val="19"/>
          <w:lang w:val="en-US" w:eastAsia="it-IT"/>
        </w:rPr>
      </w:pPr>
    </w:p>
    <w:p w14:paraId="05A6BA3E" w14:textId="77777777" w:rsidR="005B2EA4" w:rsidRDefault="00252872">
      <w:pPr>
        <w:spacing w:line="260" w:lineRule="exact"/>
        <w:rPr>
          <w:rFonts w:ascii="Verdana" w:eastAsia="Times New Roman" w:hAnsi="Verdana" w:cs="Open Sans"/>
          <w:b/>
          <w:sz w:val="19"/>
          <w:szCs w:val="19"/>
          <w:lang w:val="en-US" w:eastAsia="it-IT"/>
        </w:rPr>
      </w:pPr>
      <w:r w:rsidRPr="00363927">
        <w:rPr>
          <w:rFonts w:ascii="Verdana" w:eastAsia="Times New Roman" w:hAnsi="Verdana" w:cs="Open Sans"/>
          <w:b/>
          <w:sz w:val="19"/>
          <w:szCs w:val="19"/>
          <w:lang w:val="en-US" w:eastAsia="it-IT"/>
        </w:rPr>
        <w:t>St. Valentin</w:t>
      </w:r>
      <w:r w:rsidR="00661627" w:rsidRPr="00363927">
        <w:rPr>
          <w:rFonts w:ascii="Verdana" w:eastAsia="Times New Roman" w:hAnsi="Verdana" w:cs="Open Sans"/>
          <w:b/>
          <w:sz w:val="19"/>
          <w:szCs w:val="19"/>
          <w:lang w:val="en-US" w:eastAsia="it-IT"/>
        </w:rPr>
        <w:t xml:space="preserve">, </w:t>
      </w:r>
      <w:r w:rsidR="00F942B3">
        <w:rPr>
          <w:rFonts w:ascii="Verdana" w:eastAsia="Times New Roman" w:hAnsi="Verdana" w:cs="Open Sans"/>
          <w:b/>
          <w:sz w:val="19"/>
          <w:szCs w:val="19"/>
          <w:lang w:val="en-US" w:eastAsia="it-IT"/>
        </w:rPr>
        <w:t xml:space="preserve">17. </w:t>
      </w:r>
      <w:r w:rsidRPr="00363927">
        <w:rPr>
          <w:rFonts w:ascii="Verdana" w:eastAsia="Times New Roman" w:hAnsi="Verdana" w:cs="Open Sans"/>
          <w:b/>
          <w:sz w:val="19"/>
          <w:szCs w:val="19"/>
          <w:lang w:val="en-US" w:eastAsia="it-IT"/>
        </w:rPr>
        <w:t>April 2024</w:t>
      </w:r>
    </w:p>
    <w:p w14:paraId="419D92EC" w14:textId="77777777" w:rsidR="00661627" w:rsidRPr="005A090D" w:rsidRDefault="00661627" w:rsidP="009E3FC3">
      <w:pPr>
        <w:spacing w:line="260" w:lineRule="exact"/>
        <w:rPr>
          <w:rFonts w:ascii="Verdana" w:eastAsia="Times New Roman" w:hAnsi="Verdana" w:cs="Open Sans"/>
          <w:sz w:val="19"/>
          <w:szCs w:val="19"/>
          <w:lang w:val="en-US" w:eastAsia="it-IT"/>
        </w:rPr>
      </w:pPr>
    </w:p>
    <w:p w14:paraId="68437D31" w14:textId="77777777" w:rsidR="005B2EA4" w:rsidRDefault="00252872">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 xml:space="preserve">Das </w:t>
      </w:r>
      <w:r w:rsidR="00962095">
        <w:rPr>
          <w:rFonts w:ascii="Verdana" w:eastAsia="Times New Roman" w:hAnsi="Verdana" w:cs="Open Sans"/>
          <w:sz w:val="19"/>
          <w:szCs w:val="19"/>
          <w:lang w:val="en-US" w:eastAsia="it-IT"/>
        </w:rPr>
        <w:t xml:space="preserve">kühne neue Design der </w:t>
      </w:r>
      <w:r>
        <w:rPr>
          <w:rFonts w:ascii="Verdana" w:eastAsia="Times New Roman" w:hAnsi="Verdana" w:cs="Open Sans"/>
          <w:sz w:val="19"/>
          <w:szCs w:val="19"/>
          <w:lang w:val="en-US" w:eastAsia="it-IT"/>
        </w:rPr>
        <w:t xml:space="preserve">nächsten Generation des Case IH Axial-Flow Mähdreschers, das die Kapazität des </w:t>
      </w:r>
      <w:r w:rsidR="00363927">
        <w:rPr>
          <w:rFonts w:ascii="Verdana" w:eastAsia="Times New Roman" w:hAnsi="Verdana" w:cs="Open Sans"/>
          <w:sz w:val="19"/>
          <w:szCs w:val="19"/>
          <w:lang w:val="en-US" w:eastAsia="it-IT"/>
        </w:rPr>
        <w:t xml:space="preserve">Axial-Flow-Designs in einen </w:t>
      </w:r>
      <w:r w:rsidR="00106841">
        <w:rPr>
          <w:rFonts w:ascii="Verdana" w:eastAsia="Times New Roman" w:hAnsi="Verdana" w:cs="Open Sans"/>
          <w:sz w:val="19"/>
          <w:szCs w:val="19"/>
          <w:lang w:val="en-US" w:eastAsia="it-IT"/>
        </w:rPr>
        <w:t xml:space="preserve">völlig neuen </w:t>
      </w:r>
      <w:r w:rsidR="00363927">
        <w:rPr>
          <w:rFonts w:ascii="Verdana" w:eastAsia="Times New Roman" w:hAnsi="Verdana" w:cs="Open Sans"/>
          <w:sz w:val="19"/>
          <w:szCs w:val="19"/>
          <w:lang w:val="en-US" w:eastAsia="it-IT"/>
        </w:rPr>
        <w:t xml:space="preserve">Bereich </w:t>
      </w:r>
      <w:r>
        <w:rPr>
          <w:rFonts w:ascii="Verdana" w:eastAsia="Times New Roman" w:hAnsi="Verdana" w:cs="Open Sans"/>
          <w:sz w:val="19"/>
          <w:szCs w:val="19"/>
          <w:lang w:val="en-US" w:eastAsia="it-IT"/>
        </w:rPr>
        <w:t xml:space="preserve">bringen </w:t>
      </w:r>
      <w:r w:rsidR="00363927">
        <w:rPr>
          <w:rFonts w:ascii="Verdana" w:eastAsia="Times New Roman" w:hAnsi="Verdana" w:cs="Open Sans"/>
          <w:sz w:val="19"/>
          <w:szCs w:val="19"/>
          <w:lang w:val="en-US" w:eastAsia="it-IT"/>
        </w:rPr>
        <w:t xml:space="preserve">und einen unverwechselbaren neuen Stil </w:t>
      </w:r>
      <w:r w:rsidR="00106841">
        <w:rPr>
          <w:rFonts w:ascii="Verdana" w:eastAsia="Times New Roman" w:hAnsi="Verdana" w:cs="Open Sans"/>
          <w:sz w:val="19"/>
          <w:szCs w:val="19"/>
          <w:lang w:val="en-US" w:eastAsia="it-IT"/>
        </w:rPr>
        <w:t xml:space="preserve">einführen </w:t>
      </w:r>
      <w:r>
        <w:rPr>
          <w:rFonts w:ascii="Verdana" w:eastAsia="Times New Roman" w:hAnsi="Verdana" w:cs="Open Sans"/>
          <w:sz w:val="19"/>
          <w:szCs w:val="19"/>
          <w:lang w:val="en-US" w:eastAsia="it-IT"/>
        </w:rPr>
        <w:t>soll</w:t>
      </w:r>
      <w:r w:rsidR="00363927">
        <w:rPr>
          <w:rFonts w:ascii="Verdana" w:eastAsia="Times New Roman" w:hAnsi="Verdana" w:cs="Open Sans"/>
          <w:sz w:val="19"/>
          <w:szCs w:val="19"/>
          <w:lang w:val="en-US" w:eastAsia="it-IT"/>
        </w:rPr>
        <w:t xml:space="preserve">, hat einen </w:t>
      </w:r>
      <w:r w:rsidR="00106841">
        <w:rPr>
          <w:rFonts w:ascii="Verdana" w:eastAsia="Times New Roman" w:hAnsi="Verdana" w:cs="Open Sans"/>
          <w:sz w:val="19"/>
          <w:szCs w:val="19"/>
          <w:lang w:val="en-US" w:eastAsia="it-IT"/>
        </w:rPr>
        <w:t xml:space="preserve">international anerkannten </w:t>
      </w:r>
      <w:r w:rsidR="00363927">
        <w:rPr>
          <w:rFonts w:ascii="Verdana" w:eastAsia="Times New Roman" w:hAnsi="Verdana" w:cs="Open Sans"/>
          <w:sz w:val="19"/>
          <w:szCs w:val="19"/>
          <w:lang w:val="en-US" w:eastAsia="it-IT"/>
        </w:rPr>
        <w:t>Preis gewonnen</w:t>
      </w:r>
      <w:r w:rsidR="00962095">
        <w:rPr>
          <w:rFonts w:ascii="Verdana" w:eastAsia="Times New Roman" w:hAnsi="Verdana" w:cs="Open Sans"/>
          <w:sz w:val="19"/>
          <w:szCs w:val="19"/>
          <w:lang w:val="en-US" w:eastAsia="it-IT"/>
        </w:rPr>
        <w:t xml:space="preserve">: den </w:t>
      </w:r>
      <w:r w:rsidR="0000042E">
        <w:rPr>
          <w:rFonts w:ascii="Verdana" w:eastAsia="Times New Roman" w:hAnsi="Verdana" w:cs="Open Sans"/>
          <w:sz w:val="19"/>
          <w:szCs w:val="19"/>
          <w:lang w:val="en-US" w:eastAsia="it-IT"/>
        </w:rPr>
        <w:t xml:space="preserve">Red Dot Design </w:t>
      </w:r>
      <w:r w:rsidR="00962095">
        <w:rPr>
          <w:rFonts w:ascii="Verdana" w:eastAsia="Times New Roman" w:hAnsi="Verdana" w:cs="Open Sans"/>
          <w:sz w:val="19"/>
          <w:szCs w:val="19"/>
          <w:lang w:val="en-US" w:eastAsia="it-IT"/>
        </w:rPr>
        <w:t xml:space="preserve">Award für Produktdesign. Der </w:t>
      </w:r>
      <w:r w:rsidR="0000042E">
        <w:rPr>
          <w:rFonts w:ascii="Verdana" w:eastAsia="Times New Roman" w:hAnsi="Verdana" w:cs="Open Sans"/>
          <w:sz w:val="19"/>
          <w:szCs w:val="19"/>
          <w:lang w:val="en-US" w:eastAsia="it-IT"/>
        </w:rPr>
        <w:t>jährlich vergebene Red Dot Design Award ist einer der größten Designwettbewerbe der Welt, und sein Label hat sich international als eines der begehrtesten Qualitätssiegel für gutes Design etabliert</w:t>
      </w:r>
      <w:r w:rsidR="00986A23">
        <w:rPr>
          <w:rFonts w:ascii="Verdana" w:eastAsia="Times New Roman" w:hAnsi="Verdana" w:cs="Open Sans"/>
          <w:sz w:val="19"/>
          <w:szCs w:val="19"/>
          <w:lang w:val="en-US" w:eastAsia="it-IT"/>
        </w:rPr>
        <w:t xml:space="preserve">. </w:t>
      </w:r>
    </w:p>
    <w:p w14:paraId="65AFBAC5" w14:textId="77777777" w:rsidR="00986A23" w:rsidRDefault="00986A23" w:rsidP="009E3FC3">
      <w:pPr>
        <w:spacing w:line="260" w:lineRule="exact"/>
        <w:rPr>
          <w:rFonts w:ascii="Verdana" w:eastAsia="Times New Roman" w:hAnsi="Verdana" w:cs="Open Sans"/>
          <w:sz w:val="19"/>
          <w:szCs w:val="19"/>
          <w:lang w:val="en-US" w:eastAsia="it-IT"/>
        </w:rPr>
      </w:pPr>
    </w:p>
    <w:p w14:paraId="0026A223" w14:textId="77777777" w:rsidR="005B2EA4" w:rsidRDefault="00252872">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 xml:space="preserve">Die wichtigsten Details der </w:t>
      </w:r>
      <w:r w:rsidR="00986A23">
        <w:rPr>
          <w:rFonts w:ascii="Verdana" w:eastAsia="Times New Roman" w:hAnsi="Verdana" w:cs="Open Sans"/>
          <w:sz w:val="19"/>
          <w:szCs w:val="19"/>
          <w:lang w:val="en-US" w:eastAsia="it-IT"/>
        </w:rPr>
        <w:t xml:space="preserve">neuen Case IH </w:t>
      </w:r>
      <w:r>
        <w:rPr>
          <w:rFonts w:ascii="Verdana" w:eastAsia="Times New Roman" w:hAnsi="Verdana" w:cs="Open Sans"/>
          <w:sz w:val="19"/>
          <w:szCs w:val="19"/>
          <w:lang w:val="en-US" w:eastAsia="it-IT"/>
        </w:rPr>
        <w:t xml:space="preserve">AF-Serie Axial-Flow wurden auf der Agritechnica 2023 enthüllt, und der neue Mähdrescher feierte </w:t>
      </w:r>
      <w:r w:rsidR="00986A23">
        <w:rPr>
          <w:rFonts w:ascii="Verdana" w:eastAsia="Times New Roman" w:hAnsi="Verdana" w:cs="Open Sans"/>
          <w:sz w:val="19"/>
          <w:szCs w:val="19"/>
          <w:lang w:val="en-US" w:eastAsia="it-IT"/>
        </w:rPr>
        <w:t xml:space="preserve">vor kurzem </w:t>
      </w:r>
      <w:r>
        <w:rPr>
          <w:rFonts w:ascii="Verdana" w:eastAsia="Times New Roman" w:hAnsi="Verdana" w:cs="Open Sans"/>
          <w:sz w:val="19"/>
          <w:szCs w:val="19"/>
          <w:lang w:val="en-US" w:eastAsia="it-IT"/>
        </w:rPr>
        <w:t xml:space="preserve">sein globales Debüt in </w:t>
      </w:r>
      <w:r w:rsidR="00106841">
        <w:rPr>
          <w:rFonts w:ascii="Verdana" w:eastAsia="Times New Roman" w:hAnsi="Verdana" w:cs="Open Sans"/>
          <w:sz w:val="19"/>
          <w:szCs w:val="19"/>
          <w:lang w:val="en-US" w:eastAsia="it-IT"/>
        </w:rPr>
        <w:t>Nordamerika</w:t>
      </w:r>
      <w:r>
        <w:rPr>
          <w:rFonts w:ascii="Verdana" w:eastAsia="Times New Roman" w:hAnsi="Verdana" w:cs="Open Sans"/>
          <w:sz w:val="19"/>
          <w:szCs w:val="19"/>
          <w:lang w:val="en-US" w:eastAsia="it-IT"/>
        </w:rPr>
        <w:t xml:space="preserve">. Bei der Konstruktion wurde der </w:t>
      </w:r>
      <w:r w:rsidR="00986A23">
        <w:rPr>
          <w:rFonts w:ascii="Verdana" w:eastAsia="Times New Roman" w:hAnsi="Verdana" w:cs="Open Sans"/>
          <w:sz w:val="19"/>
          <w:szCs w:val="19"/>
          <w:lang w:val="en-US" w:eastAsia="it-IT"/>
        </w:rPr>
        <w:t xml:space="preserve">Schwerpunkt </w:t>
      </w:r>
      <w:r>
        <w:rPr>
          <w:rFonts w:ascii="Verdana" w:eastAsia="Times New Roman" w:hAnsi="Verdana" w:cs="Open Sans"/>
          <w:sz w:val="19"/>
          <w:szCs w:val="19"/>
          <w:lang w:val="en-US" w:eastAsia="it-IT"/>
        </w:rPr>
        <w:t xml:space="preserve">erneut </w:t>
      </w:r>
      <w:r w:rsidR="00986A23">
        <w:rPr>
          <w:rFonts w:ascii="Verdana" w:eastAsia="Times New Roman" w:hAnsi="Verdana" w:cs="Open Sans"/>
          <w:sz w:val="19"/>
          <w:szCs w:val="19"/>
          <w:lang w:val="en-US" w:eastAsia="it-IT"/>
        </w:rPr>
        <w:t>darauf gelegt, den Nutzern zu helfen, die Leistung pro Motorstunde zu maximieren und gleichzeitig Verluste und Schäden am Getreide zu minimieren</w:t>
      </w:r>
      <w:r>
        <w:rPr>
          <w:rFonts w:ascii="Verdana" w:eastAsia="Times New Roman" w:hAnsi="Verdana" w:cs="Open Sans"/>
          <w:sz w:val="19"/>
          <w:szCs w:val="19"/>
          <w:lang w:val="en-US" w:eastAsia="it-IT"/>
        </w:rPr>
        <w:t xml:space="preserve">, wobei </w:t>
      </w:r>
      <w:r w:rsidR="00A22DB0">
        <w:rPr>
          <w:rFonts w:ascii="Verdana" w:eastAsia="Times New Roman" w:hAnsi="Verdana" w:cs="Open Sans"/>
          <w:sz w:val="19"/>
          <w:szCs w:val="19"/>
          <w:lang w:val="en-US" w:eastAsia="it-IT"/>
        </w:rPr>
        <w:t xml:space="preserve">das </w:t>
      </w:r>
      <w:r>
        <w:rPr>
          <w:rFonts w:ascii="Verdana" w:eastAsia="Times New Roman" w:hAnsi="Verdana" w:cs="Open Sans"/>
          <w:sz w:val="19"/>
          <w:szCs w:val="19"/>
          <w:lang w:val="en-US" w:eastAsia="it-IT"/>
        </w:rPr>
        <w:t xml:space="preserve">bewährte </w:t>
      </w:r>
      <w:r w:rsidR="00A22DB0">
        <w:rPr>
          <w:rFonts w:ascii="Verdana" w:eastAsia="Times New Roman" w:hAnsi="Verdana" w:cs="Open Sans"/>
          <w:sz w:val="19"/>
          <w:szCs w:val="19"/>
          <w:lang w:val="en-US" w:eastAsia="it-IT"/>
        </w:rPr>
        <w:t xml:space="preserve">Axial-Flow-Prinzip des Rotationsdreschens und der Abscheidung </w:t>
      </w:r>
      <w:r>
        <w:rPr>
          <w:rFonts w:ascii="Verdana" w:eastAsia="Times New Roman" w:hAnsi="Verdana" w:cs="Open Sans"/>
          <w:sz w:val="19"/>
          <w:szCs w:val="19"/>
          <w:lang w:val="en-US" w:eastAsia="it-IT"/>
        </w:rPr>
        <w:t>beibehalten wurde</w:t>
      </w:r>
      <w:r w:rsidR="00A22DB0">
        <w:rPr>
          <w:rFonts w:ascii="Verdana" w:eastAsia="Times New Roman" w:hAnsi="Verdana" w:cs="Open Sans"/>
          <w:sz w:val="19"/>
          <w:szCs w:val="19"/>
          <w:lang w:val="en-US" w:eastAsia="it-IT"/>
        </w:rPr>
        <w:t xml:space="preserve">. </w:t>
      </w:r>
    </w:p>
    <w:p w14:paraId="24B5DE83" w14:textId="77777777" w:rsidR="00A22DB0" w:rsidRDefault="00A22DB0" w:rsidP="009E3FC3">
      <w:pPr>
        <w:spacing w:line="260" w:lineRule="exact"/>
        <w:rPr>
          <w:rFonts w:ascii="Verdana" w:eastAsia="Times New Roman" w:hAnsi="Verdana" w:cs="Open Sans"/>
          <w:sz w:val="19"/>
          <w:szCs w:val="19"/>
          <w:lang w:val="en-US" w:eastAsia="it-IT"/>
        </w:rPr>
      </w:pPr>
    </w:p>
    <w:p w14:paraId="6526CA51" w14:textId="77777777" w:rsidR="005B2EA4" w:rsidRDefault="00252872">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 xml:space="preserve">Zu den wichtigsten Neuerungen </w:t>
      </w:r>
      <w:r w:rsidR="00986A23">
        <w:rPr>
          <w:rFonts w:ascii="Verdana" w:eastAsia="Times New Roman" w:hAnsi="Verdana" w:cs="Open Sans"/>
          <w:sz w:val="19"/>
          <w:szCs w:val="19"/>
          <w:lang w:val="en-US" w:eastAsia="it-IT"/>
        </w:rPr>
        <w:t xml:space="preserve">des neuen </w:t>
      </w:r>
      <w:r w:rsidR="00366566">
        <w:rPr>
          <w:rFonts w:ascii="Verdana" w:eastAsia="Times New Roman" w:hAnsi="Verdana" w:cs="Open Sans"/>
          <w:sz w:val="19"/>
          <w:szCs w:val="19"/>
          <w:lang w:val="en-US" w:eastAsia="it-IT"/>
        </w:rPr>
        <w:t xml:space="preserve">AF </w:t>
      </w:r>
      <w:r w:rsidR="00986A23">
        <w:rPr>
          <w:rFonts w:ascii="Verdana" w:eastAsia="Times New Roman" w:hAnsi="Verdana" w:cs="Open Sans"/>
          <w:sz w:val="19"/>
          <w:szCs w:val="19"/>
          <w:lang w:val="en-US" w:eastAsia="it-IT"/>
        </w:rPr>
        <w:t xml:space="preserve">gehören ein 775-PS-Motor, ein aktives dynamisches Reinigungssystem, ein 20.000-Liter-Korntank, eine Entladerate von 210 Litern/Sekunde und eine </w:t>
      </w:r>
      <w:r>
        <w:rPr>
          <w:rFonts w:ascii="Verdana" w:eastAsia="Times New Roman" w:hAnsi="Verdana" w:cs="Open Sans"/>
          <w:sz w:val="19"/>
          <w:szCs w:val="19"/>
          <w:lang w:val="en-US" w:eastAsia="it-IT"/>
        </w:rPr>
        <w:t xml:space="preserve">Fallhöhe von </w:t>
      </w:r>
      <w:r w:rsidR="00A22DB0">
        <w:rPr>
          <w:rFonts w:ascii="Verdana" w:eastAsia="Times New Roman" w:hAnsi="Verdana" w:cs="Open Sans"/>
          <w:sz w:val="19"/>
          <w:szCs w:val="19"/>
          <w:lang w:val="en-US" w:eastAsia="it-IT"/>
        </w:rPr>
        <w:t xml:space="preserve">bis zu </w:t>
      </w:r>
      <w:r>
        <w:rPr>
          <w:rFonts w:ascii="Verdana" w:eastAsia="Times New Roman" w:hAnsi="Verdana" w:cs="Open Sans"/>
          <w:sz w:val="19"/>
          <w:szCs w:val="19"/>
          <w:lang w:val="en-US" w:eastAsia="it-IT"/>
        </w:rPr>
        <w:t>15 m</w:t>
      </w:r>
      <w:r w:rsidR="00A22DB0">
        <w:rPr>
          <w:rFonts w:ascii="Verdana" w:eastAsia="Times New Roman" w:hAnsi="Verdana" w:cs="Open Sans"/>
          <w:sz w:val="19"/>
          <w:szCs w:val="19"/>
          <w:lang w:val="en-US" w:eastAsia="it-IT"/>
        </w:rPr>
        <w:t xml:space="preserve">. Der Anwender profitiert von leistungssteigernden </w:t>
      </w:r>
      <w:r>
        <w:rPr>
          <w:rFonts w:ascii="Verdana" w:eastAsia="Times New Roman" w:hAnsi="Verdana" w:cs="Open Sans"/>
          <w:sz w:val="19"/>
          <w:szCs w:val="19"/>
          <w:lang w:val="en-US" w:eastAsia="it-IT"/>
        </w:rPr>
        <w:t xml:space="preserve">Technologien wie </w:t>
      </w:r>
      <w:r w:rsidR="00BB7C4E">
        <w:rPr>
          <w:rFonts w:ascii="Verdana" w:eastAsia="Times New Roman" w:hAnsi="Verdana" w:cs="Open Sans"/>
          <w:sz w:val="19"/>
          <w:szCs w:val="19"/>
          <w:lang w:val="en-US" w:eastAsia="it-IT"/>
        </w:rPr>
        <w:t xml:space="preserve">AFS Harvest Command zur </w:t>
      </w:r>
      <w:r w:rsidR="00A22DB0">
        <w:rPr>
          <w:rFonts w:ascii="Verdana" w:eastAsia="Times New Roman" w:hAnsi="Verdana" w:cs="Open Sans"/>
          <w:sz w:val="19"/>
          <w:szCs w:val="19"/>
          <w:lang w:val="en-US" w:eastAsia="it-IT"/>
        </w:rPr>
        <w:t>Minimierung von Verlusten, Maximierung des Durchsatzes und zum Schutz der Kornqualität. Erfahrene Anwender können so noch mehr aus ihrem Mähdrescher herausholen, und unerfahrene Anwender werden schnell zu versierten Fahrern</w:t>
      </w:r>
      <w:r>
        <w:rPr>
          <w:rFonts w:ascii="Verdana" w:eastAsia="Times New Roman" w:hAnsi="Verdana" w:cs="Open Sans"/>
          <w:sz w:val="19"/>
          <w:szCs w:val="19"/>
          <w:lang w:val="en-US" w:eastAsia="it-IT"/>
        </w:rPr>
        <w:t xml:space="preserve">, um </w:t>
      </w:r>
      <w:r w:rsidR="00BB7C4E">
        <w:rPr>
          <w:rFonts w:ascii="Verdana" w:eastAsia="Times New Roman" w:hAnsi="Verdana" w:cs="Open Sans"/>
          <w:sz w:val="19"/>
          <w:szCs w:val="19"/>
          <w:lang w:val="en-US" w:eastAsia="it-IT"/>
        </w:rPr>
        <w:t xml:space="preserve">die </w:t>
      </w:r>
      <w:r>
        <w:rPr>
          <w:rFonts w:ascii="Verdana" w:eastAsia="Times New Roman" w:hAnsi="Verdana" w:cs="Open Sans"/>
          <w:sz w:val="19"/>
          <w:szCs w:val="19"/>
          <w:lang w:val="en-US" w:eastAsia="it-IT"/>
        </w:rPr>
        <w:t>Herausforderungen bei der Arbeit zu meistern</w:t>
      </w:r>
      <w:r w:rsidR="00A22DB0">
        <w:rPr>
          <w:rFonts w:ascii="Verdana" w:eastAsia="Times New Roman" w:hAnsi="Verdana" w:cs="Open Sans"/>
          <w:sz w:val="19"/>
          <w:szCs w:val="19"/>
          <w:lang w:val="en-US" w:eastAsia="it-IT"/>
        </w:rPr>
        <w:t xml:space="preserve">.             </w:t>
      </w:r>
      <w:r w:rsidR="00363927">
        <w:rPr>
          <w:rFonts w:ascii="Verdana" w:eastAsia="Times New Roman" w:hAnsi="Verdana" w:cs="Open Sans"/>
          <w:sz w:val="19"/>
          <w:szCs w:val="19"/>
          <w:lang w:val="en-US" w:eastAsia="it-IT"/>
        </w:rPr>
        <w:t xml:space="preserve"> </w:t>
      </w:r>
    </w:p>
    <w:p w14:paraId="365E5141" w14:textId="77777777" w:rsidR="0000042E" w:rsidRDefault="0000042E" w:rsidP="009E3FC3">
      <w:pPr>
        <w:spacing w:line="260" w:lineRule="exact"/>
        <w:rPr>
          <w:rFonts w:ascii="Verdana" w:eastAsia="Times New Roman" w:hAnsi="Verdana" w:cs="Open Sans"/>
          <w:sz w:val="19"/>
          <w:szCs w:val="19"/>
          <w:lang w:val="en-US" w:eastAsia="it-IT"/>
        </w:rPr>
      </w:pPr>
    </w:p>
    <w:p w14:paraId="1C2C68B6" w14:textId="77777777" w:rsidR="005B2EA4" w:rsidRDefault="00252872">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 xml:space="preserve">Die neue Technologie ist </w:t>
      </w:r>
      <w:r w:rsidR="00106841">
        <w:rPr>
          <w:rFonts w:ascii="Verdana" w:eastAsia="Times New Roman" w:hAnsi="Verdana" w:cs="Open Sans"/>
          <w:sz w:val="19"/>
          <w:szCs w:val="19"/>
          <w:lang w:val="en-US" w:eastAsia="it-IT"/>
        </w:rPr>
        <w:t xml:space="preserve">in ein frisches </w:t>
      </w:r>
      <w:r>
        <w:rPr>
          <w:rFonts w:ascii="Verdana" w:eastAsia="Times New Roman" w:hAnsi="Verdana" w:cs="Open Sans"/>
          <w:sz w:val="19"/>
          <w:szCs w:val="19"/>
          <w:lang w:val="en-US" w:eastAsia="it-IT"/>
        </w:rPr>
        <w:t xml:space="preserve">Axial-Flow-Design </w:t>
      </w:r>
      <w:r w:rsidR="00106841">
        <w:rPr>
          <w:rFonts w:ascii="Verdana" w:eastAsia="Times New Roman" w:hAnsi="Verdana" w:cs="Open Sans"/>
          <w:sz w:val="19"/>
          <w:szCs w:val="19"/>
          <w:lang w:val="en-US" w:eastAsia="it-IT"/>
        </w:rPr>
        <w:t xml:space="preserve">verpackt, das der Baureihe ein neues Aussehen verleiht und </w:t>
      </w:r>
      <w:r>
        <w:rPr>
          <w:rFonts w:ascii="Verdana" w:eastAsia="Times New Roman" w:hAnsi="Verdana" w:cs="Open Sans"/>
          <w:sz w:val="19"/>
          <w:szCs w:val="19"/>
          <w:lang w:val="en-US" w:eastAsia="it-IT"/>
        </w:rPr>
        <w:t xml:space="preserve">zeigen soll, dass es sich um eine ganz </w:t>
      </w:r>
      <w:r w:rsidR="00106841">
        <w:rPr>
          <w:rFonts w:ascii="Verdana" w:eastAsia="Times New Roman" w:hAnsi="Verdana" w:cs="Open Sans"/>
          <w:sz w:val="19"/>
          <w:szCs w:val="19"/>
          <w:lang w:val="en-US" w:eastAsia="it-IT"/>
        </w:rPr>
        <w:t>andere Klasse von Mähdreschern handelt</w:t>
      </w:r>
      <w:r>
        <w:rPr>
          <w:rFonts w:ascii="Verdana" w:eastAsia="Times New Roman" w:hAnsi="Verdana" w:cs="Open Sans"/>
          <w:sz w:val="19"/>
          <w:szCs w:val="19"/>
          <w:lang w:val="en-US" w:eastAsia="it-IT"/>
        </w:rPr>
        <w:t xml:space="preserve">. </w:t>
      </w:r>
      <w:r w:rsidR="00962095">
        <w:rPr>
          <w:rFonts w:ascii="Verdana" w:eastAsia="Times New Roman" w:hAnsi="Verdana" w:cs="Open Sans"/>
          <w:sz w:val="19"/>
          <w:szCs w:val="19"/>
          <w:lang w:val="en-US" w:eastAsia="it-IT"/>
        </w:rPr>
        <w:t xml:space="preserve">Das Designteam von Case </w:t>
      </w:r>
      <w:r w:rsidR="00BB7C4E">
        <w:rPr>
          <w:rFonts w:ascii="Verdana" w:eastAsia="Times New Roman" w:hAnsi="Verdana" w:cs="Open Sans"/>
          <w:sz w:val="19"/>
          <w:szCs w:val="19"/>
          <w:lang w:val="en-US" w:eastAsia="it-IT"/>
        </w:rPr>
        <w:t xml:space="preserve">IH und seiner Muttergesellschaft CNH </w:t>
      </w:r>
      <w:r w:rsidR="00962095">
        <w:rPr>
          <w:rFonts w:ascii="Verdana" w:eastAsia="Times New Roman" w:hAnsi="Verdana" w:cs="Open Sans"/>
          <w:sz w:val="19"/>
          <w:szCs w:val="19"/>
          <w:lang w:val="en-US" w:eastAsia="it-IT"/>
        </w:rPr>
        <w:t xml:space="preserve">wird den Red Dot Design Award </w:t>
      </w:r>
      <w:r w:rsidR="00366566">
        <w:rPr>
          <w:rFonts w:ascii="Verdana" w:eastAsia="Times New Roman" w:hAnsi="Verdana" w:cs="Open Sans"/>
          <w:sz w:val="19"/>
          <w:szCs w:val="19"/>
          <w:lang w:val="en-US" w:eastAsia="it-IT"/>
        </w:rPr>
        <w:t xml:space="preserve">für den AF </w:t>
      </w:r>
      <w:r w:rsidR="00962095">
        <w:rPr>
          <w:rFonts w:ascii="Verdana" w:eastAsia="Times New Roman" w:hAnsi="Verdana" w:cs="Open Sans"/>
          <w:sz w:val="19"/>
          <w:szCs w:val="19"/>
          <w:lang w:val="en-US" w:eastAsia="it-IT"/>
        </w:rPr>
        <w:t xml:space="preserve">bei einer speziellen Red Dot: Best of the Best'-Zeremonie am 24. Juni im Aalto-Theater in Essen, Deutschland, entgegennehmen. </w:t>
      </w:r>
    </w:p>
    <w:p w14:paraId="3609157E" w14:textId="77777777" w:rsidR="00106841" w:rsidRDefault="00106841" w:rsidP="009E3FC3">
      <w:pPr>
        <w:spacing w:line="260" w:lineRule="exact"/>
        <w:rPr>
          <w:rFonts w:ascii="Verdana" w:eastAsia="Times New Roman" w:hAnsi="Verdana" w:cs="Open Sans"/>
          <w:sz w:val="19"/>
          <w:szCs w:val="19"/>
          <w:lang w:val="en-US" w:eastAsia="it-IT"/>
        </w:rPr>
      </w:pPr>
    </w:p>
    <w:p w14:paraId="6EB9C377" w14:textId="77777777" w:rsidR="005B2EA4" w:rsidRDefault="00252872">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lastRenderedPageBreak/>
        <w:t xml:space="preserve">"Die Auszeichnung mit dem Red Dot Design Award ist eine große </w:t>
      </w:r>
      <w:r w:rsidR="002B42B1">
        <w:rPr>
          <w:rFonts w:ascii="Verdana" w:eastAsia="Times New Roman" w:hAnsi="Verdana" w:cs="Open Sans"/>
          <w:sz w:val="19"/>
          <w:szCs w:val="19"/>
          <w:lang w:val="en-US" w:eastAsia="it-IT"/>
        </w:rPr>
        <w:t xml:space="preserve">Ehre </w:t>
      </w:r>
      <w:r>
        <w:rPr>
          <w:rFonts w:ascii="Verdana" w:eastAsia="Times New Roman" w:hAnsi="Verdana" w:cs="Open Sans"/>
          <w:sz w:val="19"/>
          <w:szCs w:val="19"/>
          <w:lang w:val="en-US" w:eastAsia="it-IT"/>
        </w:rPr>
        <w:t xml:space="preserve">für das Designteam des neuen Axial Flow", sagt David Wilkie, Direktor für Industriedesign </w:t>
      </w:r>
      <w:r w:rsidR="00BB7C4E">
        <w:rPr>
          <w:rFonts w:ascii="Verdana" w:eastAsia="Times New Roman" w:hAnsi="Verdana" w:cs="Open Sans"/>
          <w:sz w:val="19"/>
          <w:szCs w:val="19"/>
          <w:lang w:val="en-US" w:eastAsia="it-IT"/>
        </w:rPr>
        <w:t>bei der Case IH-Muttergesellschaft CNH</w:t>
      </w:r>
      <w:r>
        <w:rPr>
          <w:rFonts w:ascii="Verdana" w:eastAsia="Times New Roman" w:hAnsi="Verdana" w:cs="Open Sans"/>
          <w:sz w:val="19"/>
          <w:szCs w:val="19"/>
          <w:lang w:val="en-US" w:eastAsia="it-IT"/>
        </w:rPr>
        <w:t>.</w:t>
      </w:r>
    </w:p>
    <w:p w14:paraId="3C4140AD" w14:textId="77777777" w:rsidR="00106841" w:rsidRDefault="00106841" w:rsidP="009E3FC3">
      <w:pPr>
        <w:spacing w:line="260" w:lineRule="exact"/>
        <w:rPr>
          <w:rFonts w:ascii="Verdana" w:eastAsia="Times New Roman" w:hAnsi="Verdana" w:cs="Open Sans"/>
          <w:sz w:val="19"/>
          <w:szCs w:val="19"/>
          <w:lang w:val="en-US" w:eastAsia="it-IT"/>
        </w:rPr>
      </w:pPr>
    </w:p>
    <w:p w14:paraId="678C92A8" w14:textId="77777777" w:rsidR="005B2EA4" w:rsidRDefault="00252872">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"Wir wollten einen Look kreieren, der zeigt, dass dieser Mähdrescher viel mehr ist als eine Auffrischung bestehender Ideen in Bezug auf die interne Technik</w:t>
      </w:r>
      <w:r w:rsidR="00F61EC8">
        <w:rPr>
          <w:rFonts w:ascii="Verdana" w:eastAsia="Times New Roman" w:hAnsi="Verdana" w:cs="Open Sans"/>
          <w:sz w:val="19"/>
          <w:szCs w:val="19"/>
          <w:lang w:val="en-US" w:eastAsia="it-IT"/>
        </w:rPr>
        <w:t>, sondern wirklich etwas ganz anderes ist</w:t>
      </w:r>
      <w:r>
        <w:rPr>
          <w:rFonts w:ascii="Verdana" w:eastAsia="Times New Roman" w:hAnsi="Verdana" w:cs="Open Sans"/>
          <w:sz w:val="19"/>
          <w:szCs w:val="19"/>
          <w:lang w:val="en-US" w:eastAsia="it-IT"/>
        </w:rPr>
        <w:t>. Ich freue mich sehr, dass die Red Dot-Jury unsere Bemühung</w:t>
      </w:r>
      <w:r>
        <w:rPr>
          <w:rFonts w:ascii="Verdana" w:eastAsia="Times New Roman" w:hAnsi="Verdana" w:cs="Open Sans"/>
          <w:sz w:val="19"/>
          <w:szCs w:val="19"/>
          <w:lang w:val="en-US" w:eastAsia="it-IT"/>
        </w:rPr>
        <w:t xml:space="preserve">en anerkannt hat, einen Stil zu kreieren, der zur beachtlichen Substanz des Axial-Flow </w:t>
      </w:r>
      <w:r w:rsidR="00366566">
        <w:rPr>
          <w:rFonts w:ascii="Verdana" w:eastAsia="Times New Roman" w:hAnsi="Verdana" w:cs="Open Sans"/>
          <w:sz w:val="19"/>
          <w:szCs w:val="19"/>
          <w:lang w:val="en-US" w:eastAsia="it-IT"/>
        </w:rPr>
        <w:t>AF passt</w:t>
      </w:r>
      <w:r>
        <w:rPr>
          <w:rFonts w:ascii="Verdana" w:eastAsia="Times New Roman" w:hAnsi="Verdana" w:cs="Open Sans"/>
          <w:sz w:val="19"/>
          <w:szCs w:val="19"/>
          <w:lang w:val="en-US" w:eastAsia="it-IT"/>
        </w:rPr>
        <w:t xml:space="preserve">."  </w:t>
      </w:r>
      <w:r w:rsidR="00962095">
        <w:rPr>
          <w:rFonts w:ascii="Verdana" w:eastAsia="Times New Roman" w:hAnsi="Verdana" w:cs="Open Sans"/>
          <w:sz w:val="19"/>
          <w:szCs w:val="19"/>
          <w:lang w:val="en-US" w:eastAsia="it-IT"/>
        </w:rPr>
        <w:t xml:space="preserve"> </w:t>
      </w:r>
    </w:p>
    <w:p w14:paraId="404ABF99" w14:textId="77777777" w:rsidR="00962095" w:rsidRDefault="00962095" w:rsidP="009E3FC3">
      <w:pPr>
        <w:spacing w:line="260" w:lineRule="exact"/>
        <w:rPr>
          <w:rFonts w:ascii="Verdana" w:eastAsia="Times New Roman" w:hAnsi="Verdana" w:cs="Open Sans"/>
          <w:sz w:val="19"/>
          <w:szCs w:val="19"/>
          <w:lang w:val="en-US" w:eastAsia="it-IT"/>
        </w:rPr>
      </w:pPr>
    </w:p>
    <w:p w14:paraId="16E31C90" w14:textId="77777777" w:rsidR="005B2EA4" w:rsidRDefault="00252872">
      <w:pPr>
        <w:spacing w:line="260" w:lineRule="exact"/>
        <w:rPr>
          <w:lang w:val="en-US"/>
        </w:rPr>
      </w:pPr>
      <w:r w:rsidRPr="00894AB9">
        <w:rPr>
          <w:lang w:val="en-US"/>
        </w:rPr>
        <w:t xml:space="preserve">*** </w:t>
      </w:r>
    </w:p>
    <w:p w14:paraId="1DC11F90" w14:textId="77777777" w:rsidR="00894AB9" w:rsidRDefault="00894AB9" w:rsidP="00894AB9">
      <w:pPr>
        <w:spacing w:line="260" w:lineRule="exact"/>
        <w:rPr>
          <w:lang w:val="en-US"/>
        </w:rPr>
      </w:pPr>
    </w:p>
    <w:p w14:paraId="21CB7883" w14:textId="77777777" w:rsidR="005B2EA4" w:rsidRDefault="00252872">
      <w:pPr>
        <w:spacing w:line="260" w:lineRule="exact"/>
        <w:rPr>
          <w:lang w:val="en-US"/>
        </w:rPr>
      </w:pPr>
      <w:r w:rsidRPr="00894AB9">
        <w:rPr>
          <w:lang w:val="en-US"/>
        </w:rPr>
        <w:t xml:space="preserve">Pressemitteilungen und Fotos: </w:t>
      </w:r>
      <w:hyperlink r:id="rId8" w:history="1">
        <w:r w:rsidRPr="00405F26">
          <w:rPr>
            <w:rStyle w:val="Collegamentoipertestuale"/>
            <w:color w:val="auto"/>
            <w:lang w:val="en-US"/>
          </w:rPr>
          <w:t>https://www.caseihmediacentre.com/</w:t>
        </w:r>
      </w:hyperlink>
    </w:p>
    <w:p w14:paraId="66D5D99A" w14:textId="77777777" w:rsidR="00CB129F" w:rsidRDefault="00CB129F" w:rsidP="00136990">
      <w:pPr>
        <w:ind w:right="555"/>
        <w:jc w:val="both"/>
        <w:rPr>
          <w:rFonts w:ascii="Verdana" w:hAnsi="Verdana" w:cs="Arial"/>
          <w:b/>
          <w:bCs/>
          <w:i/>
          <w:iCs/>
          <w:color w:val="000000" w:themeColor="text1"/>
          <w:sz w:val="16"/>
          <w:szCs w:val="16"/>
          <w:lang w:val="en-US"/>
        </w:rPr>
      </w:pPr>
    </w:p>
    <w:p w14:paraId="15DAF5E9" w14:textId="77777777" w:rsidR="005B2EA4" w:rsidRDefault="00252872">
      <w:pPr>
        <w:spacing w:line="300" w:lineRule="atLeast"/>
        <w:ind w:right="43"/>
        <w:jc w:val="both"/>
        <w:rPr>
          <w:rFonts w:ascii="Verdana" w:eastAsia="Times New Roman" w:hAnsi="Verdana" w:cs="Open Sans"/>
          <w:iCs/>
          <w:sz w:val="16"/>
          <w:szCs w:val="16"/>
          <w:lang w:val="en-US" w:eastAsia="it-IT"/>
        </w:rPr>
      </w:pPr>
      <w:r w:rsidRPr="00535F2A">
        <w:rPr>
          <w:rFonts w:ascii="Verdana" w:eastAsia="Times New Roman" w:hAnsi="Verdana" w:cs="Open Sans"/>
          <w:iCs/>
          <w:sz w:val="16"/>
          <w:szCs w:val="16"/>
          <w:lang w:val="en-US" w:eastAsia="it-IT"/>
        </w:rPr>
        <w:t>Case IH ist die erste Wahl für Profis und kann auf mehr als 180 Jahre Tradition und Erfahrung in der Landwirtschaft zurückblicken. Eine leistungsstarke Palette von Traktoren, Mähdreschern und Ballenpressen wird von eine</w:t>
      </w:r>
      <w:r w:rsidRPr="00535F2A">
        <w:rPr>
          <w:rFonts w:ascii="Verdana" w:eastAsia="Times New Roman" w:hAnsi="Verdana" w:cs="Open Sans"/>
          <w:iCs/>
          <w:sz w:val="16"/>
          <w:szCs w:val="16"/>
          <w:lang w:val="en-US" w:eastAsia="it-IT"/>
        </w:rPr>
        <w:t xml:space="preserve">m weltweiten Netz hochprofessioneller Händler unterstützt, die sich dafür einsetzen, dass unsere Kunden den hervorragenden Support und die leistungsfähigen Lösungen erhalten, die sie benötigen, um im 21. Jahrhundert produktiv und effektiv zu sein. Weitere </w:t>
      </w:r>
      <w:r w:rsidRPr="00535F2A">
        <w:rPr>
          <w:rFonts w:ascii="Verdana" w:eastAsia="Times New Roman" w:hAnsi="Verdana" w:cs="Open Sans"/>
          <w:iCs/>
          <w:sz w:val="16"/>
          <w:szCs w:val="16"/>
          <w:lang w:val="en-US" w:eastAsia="it-IT"/>
        </w:rPr>
        <w:t xml:space="preserve">Informationen über Produkte und Dienstleistungen von Case IH finden Sie online unter https://www.caseih.com </w:t>
      </w:r>
    </w:p>
    <w:p w14:paraId="0C18A797" w14:textId="77777777" w:rsidR="005B2EA4" w:rsidRDefault="00252872">
      <w:pPr>
        <w:spacing w:line="300" w:lineRule="atLeast"/>
        <w:ind w:right="43"/>
        <w:jc w:val="both"/>
        <w:rPr>
          <w:rFonts w:ascii="Verdana" w:eastAsia="Times New Roman" w:hAnsi="Verdana" w:cs="Open Sans"/>
          <w:sz w:val="16"/>
          <w:szCs w:val="16"/>
          <w:lang w:val="en-US" w:eastAsia="it-IT"/>
        </w:rPr>
      </w:pPr>
      <w:r w:rsidRPr="00535F2A">
        <w:rPr>
          <w:rFonts w:ascii="Verdana" w:eastAsia="Times New Roman" w:hAnsi="Verdana" w:cs="Open Sans"/>
          <w:iCs/>
          <w:sz w:val="16"/>
          <w:szCs w:val="16"/>
          <w:lang w:val="en-US" w:eastAsia="it-IT"/>
        </w:rPr>
        <w:t>Case IH ist eine Marke von CNH Industrial, einem weltweit führenden Hersteller von Investitionsgütern, der an der New Yorker Börse notiert ist (NYS</w:t>
      </w:r>
      <w:r w:rsidRPr="00535F2A">
        <w:rPr>
          <w:rFonts w:ascii="Verdana" w:eastAsia="Times New Roman" w:hAnsi="Verdana" w:cs="Open Sans"/>
          <w:iCs/>
          <w:sz w:val="16"/>
          <w:szCs w:val="16"/>
          <w:lang w:val="en-US" w:eastAsia="it-IT"/>
        </w:rPr>
        <w:t xml:space="preserve">E: CNHI). Weitere Informationen über CNH finden Sie online unter </w:t>
      </w:r>
      <w:r w:rsidRPr="00AF4001">
        <w:rPr>
          <w:rFonts w:ascii="Verdana" w:eastAsia="Times New Roman" w:hAnsi="Verdana" w:cs="Open Sans"/>
          <w:iCs/>
          <w:sz w:val="16"/>
          <w:szCs w:val="16"/>
          <w:lang w:val="en-US" w:eastAsia="it-IT"/>
        </w:rPr>
        <w:t xml:space="preserve">https://www.cnh.com </w:t>
      </w:r>
    </w:p>
    <w:p w14:paraId="03C303DE" w14:textId="77777777" w:rsidR="003C4644" w:rsidRPr="003C4644" w:rsidRDefault="003C4644" w:rsidP="003C4644">
      <w:pPr>
        <w:spacing w:line="300" w:lineRule="atLeast"/>
        <w:ind w:right="43"/>
        <w:jc w:val="both"/>
        <w:rPr>
          <w:rStyle w:val="Enfasicorsivo"/>
          <w:rFonts w:cs="Arial"/>
          <w:lang w:val="en-US"/>
        </w:rPr>
      </w:pPr>
    </w:p>
    <w:p w14:paraId="28E20B52" w14:textId="77777777" w:rsidR="005B2EA4" w:rsidRDefault="00252872">
      <w:pPr>
        <w:jc w:val="both"/>
        <w:rPr>
          <w:rFonts w:cs="Arial"/>
          <w:i/>
          <w:sz w:val="16"/>
          <w:szCs w:val="16"/>
          <w:lang w:val="en-US"/>
        </w:rPr>
      </w:pPr>
      <w:r w:rsidRPr="003C4644">
        <w:rPr>
          <w:rFonts w:cs="Arial"/>
          <w:i/>
          <w:sz w:val="16"/>
          <w:szCs w:val="16"/>
          <w:lang w:val="en-US"/>
        </w:rPr>
        <w:t>Case IH ist eine eingetragene Marke von CNH Industrial N.V. in der Europäischen Union und anderen Ländern.</w:t>
      </w:r>
    </w:p>
    <w:p w14:paraId="77D181A7" w14:textId="77777777" w:rsidR="00894AB9" w:rsidRDefault="00894AB9" w:rsidP="00894AB9">
      <w:pPr>
        <w:spacing w:line="260" w:lineRule="exact"/>
        <w:rPr>
          <w:rFonts w:ascii="Verdana" w:eastAsia="Times New Roman" w:hAnsi="Verdana" w:cs="Open Sans"/>
          <w:i/>
          <w:sz w:val="16"/>
          <w:szCs w:val="16"/>
          <w:lang w:val="en-US" w:eastAsia="it-IT"/>
        </w:rPr>
      </w:pPr>
    </w:p>
    <w:p w14:paraId="3D3D74AE" w14:textId="77777777" w:rsidR="00252872" w:rsidRPr="000D6DFD" w:rsidRDefault="00252872" w:rsidP="00252872">
      <w:pPr>
        <w:spacing w:line="260" w:lineRule="exact"/>
        <w:rPr>
          <w:lang w:val="de-DE"/>
        </w:rPr>
      </w:pPr>
      <w:r w:rsidRPr="000D6DFD">
        <w:rPr>
          <w:lang w:val="de-DE"/>
        </w:rPr>
        <w:t>Für weitere Informationen wenden Sie sich bitte an:</w:t>
      </w:r>
    </w:p>
    <w:p w14:paraId="79B21372" w14:textId="77777777" w:rsidR="00252872" w:rsidRPr="000D6DFD" w:rsidRDefault="00252872" w:rsidP="00252872">
      <w:pPr>
        <w:spacing w:line="260" w:lineRule="exact"/>
        <w:rPr>
          <w:lang w:val="de-DE"/>
        </w:rPr>
      </w:pPr>
    </w:p>
    <w:p w14:paraId="3FA0ED42" w14:textId="77777777" w:rsidR="00252872" w:rsidRDefault="00252872" w:rsidP="00252872">
      <w:pPr>
        <w:spacing w:line="260" w:lineRule="exact"/>
        <w:rPr>
          <w:lang w:val="en-US"/>
        </w:rPr>
      </w:pPr>
      <w:r w:rsidRPr="00894AB9">
        <w:rPr>
          <w:lang w:val="en-US"/>
        </w:rPr>
        <w:t>Manuela Marengo</w:t>
      </w:r>
    </w:p>
    <w:p w14:paraId="1BBAC5BC" w14:textId="77777777" w:rsidR="00252872" w:rsidRDefault="00252872" w:rsidP="00252872">
      <w:pPr>
        <w:spacing w:line="260" w:lineRule="exact"/>
        <w:rPr>
          <w:lang w:val="en-US"/>
        </w:rPr>
      </w:pPr>
      <w:r>
        <w:rPr>
          <w:lang w:val="en-US"/>
        </w:rPr>
        <w:t>Brand Communication</w:t>
      </w:r>
      <w:r w:rsidRPr="00894AB9">
        <w:rPr>
          <w:lang w:val="en-US"/>
        </w:rPr>
        <w:t xml:space="preserve"> Case IH, EMEA</w:t>
      </w:r>
    </w:p>
    <w:p w14:paraId="67407F15" w14:textId="77777777" w:rsidR="00252872" w:rsidRDefault="00252872" w:rsidP="00252872">
      <w:pPr>
        <w:spacing w:line="260" w:lineRule="exact"/>
      </w:pPr>
      <w:r w:rsidRPr="00894AB9">
        <w:t>Mobil: +39 334 634 0141</w:t>
      </w:r>
    </w:p>
    <w:p w14:paraId="305834E7" w14:textId="77777777" w:rsidR="00252872" w:rsidRDefault="00252872" w:rsidP="00252872">
      <w:pPr>
        <w:spacing w:line="260" w:lineRule="exact"/>
      </w:pPr>
      <w:r w:rsidRPr="00894AB9">
        <w:t xml:space="preserve">E-Mail: </w:t>
      </w:r>
      <w:r w:rsidRPr="00A529B5">
        <w:t xml:space="preserve">manuela.marengo@cnhind.com </w:t>
      </w:r>
    </w:p>
    <w:p w14:paraId="123A0C07" w14:textId="58407E63" w:rsidR="005B2EA4" w:rsidRDefault="005B2EA4" w:rsidP="00252872">
      <w:pPr>
        <w:spacing w:line="260" w:lineRule="exact"/>
        <w:rPr>
          <w:rFonts w:ascii="Verdana" w:hAnsi="Verdana"/>
          <w:sz w:val="19"/>
          <w:szCs w:val="19"/>
        </w:rPr>
      </w:pPr>
    </w:p>
    <w:sectPr w:rsidR="005B2EA4" w:rsidSect="009E3FC3">
      <w:headerReference w:type="default" r:id="rId9"/>
      <w:footerReference w:type="default" r:id="rId10"/>
      <w:headerReference w:type="first" r:id="rId11"/>
      <w:footerReference w:type="first" r:id="rId12"/>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0F509" w14:textId="77777777" w:rsidR="00016288" w:rsidRDefault="00016288" w:rsidP="00C90389">
      <w:r>
        <w:separator/>
      </w:r>
    </w:p>
  </w:endnote>
  <w:endnote w:type="continuationSeparator" w:id="0">
    <w:p w14:paraId="62B0E7BB" w14:textId="77777777" w:rsidR="00016288" w:rsidRDefault="00016288"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128C9C1-9954-4751-8458-01FC20E7B717}"/>
    <w:embedBold r:id="rId2" w:fontKey="{C878DBE2-F3F4-41F5-A6EA-8B17253DBE94}"/>
    <w:embedItalic r:id="rId3" w:fontKey="{D675C62A-28F0-4D6D-ADF4-57D5C214DA98}"/>
    <w:embedBoldItalic r:id="rId4" w:fontKey="{628CC66E-57E0-4000-BA6F-42A7DBC2DD3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E4A8CDC5-ED84-42C8-8A1E-7862A3E6895A}"/>
    <w:embedBold r:id="rId6" w:fontKey="{98B7B0E9-2BDE-4F17-BB22-B50B09089DF3}"/>
    <w:embedItalic r:id="rId7" w:fontKey="{1EF9C1F8-963C-4F0D-A53F-6A1E04F70140}"/>
    <w:embedBoldItalic r:id="rId8" w:fontKey="{0355E4D9-9DAE-4292-8E39-1B901EDAFB6B}"/>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AFD3" w14:textId="77777777" w:rsidR="005B2EA4" w:rsidRDefault="00252872">
    <w:pPr>
      <w:pStyle w:val="Pidipagina"/>
    </w:pPr>
    <w:r>
      <w:rPr>
        <w:noProof/>
        <w:lang w:val="en-GB" w:eastAsia="en-GB"/>
      </w:rPr>
      <mc:AlternateContent>
        <mc:Choice Requires="wps">
          <w:drawing>
            <wp:anchor distT="0" distB="0" distL="114300" distR="114300" simplePos="0" relativeHeight="251663360" behindDoc="0" locked="0" layoutInCell="1" allowOverlap="1" wp14:anchorId="72AE5950" wp14:editId="25A555B7">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64494AD" w14:textId="77777777" w:rsidR="002B60F1" w:rsidRPr="002B60F1" w:rsidRDefault="00E17021" w:rsidP="007F1CD8">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2AE5950">
              <v:stroke joinstyle="miter"/>
              <v:path gradientshapeok="t" o:connecttype="rect"/>
            </v:shapetype>
            <v:shape id="Casella di testo 6"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v:textbox>
                <w:txbxContent>
                  <w:p w:rsidRPr="002B60F1" w:rsidR="002B60F1" w:rsidP="007F1CD8" w:rsidRDefault="00E17021" w14:paraId="064494AD" w14:textId="77777777">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D9092" w14:textId="77777777" w:rsidR="005B2EA4" w:rsidRDefault="00252872">
    <w:pPr>
      <w:pStyle w:val="Pidipagina"/>
    </w:pPr>
    <w:r w:rsidRPr="004D2934">
      <w:rPr>
        <w:noProof/>
        <w:lang w:val="en-GB" w:eastAsia="en-GB"/>
      </w:rPr>
      <mc:AlternateContent>
        <mc:Choice Requires="wps">
          <w:drawing>
            <wp:anchor distT="0" distB="0" distL="114300" distR="114300" simplePos="0" relativeHeight="251671552" behindDoc="0" locked="0" layoutInCell="1" allowOverlap="1" wp14:anchorId="570ECAE5" wp14:editId="6D8A84C9">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3DE0C73B" w14:textId="77777777" w:rsidR="004D2934" w:rsidRPr="002B60F1" w:rsidRDefault="00E17021"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70ECAE5">
              <v:stroke joinstyle="miter"/>
              <v:path gradientshapeok="t" o:connecttype="rect"/>
            </v:shapetype>
            <v:shape id="Casella di testo 21"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v:textbox>
                <w:txbxContent>
                  <w:p w:rsidRPr="002B60F1" w:rsidR="004D2934" w:rsidP="004D2934" w:rsidRDefault="00E17021" w14:paraId="3DE0C73B" w14:textId="77777777">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sidR="00745922">
      <w:rPr>
        <w:noProof/>
        <w:lang w:val="en-GB" w:eastAsia="en-GB"/>
      </w:rPr>
      <mc:AlternateContent>
        <mc:Choice Requires="wps">
          <w:drawing>
            <wp:anchor distT="0" distB="0" distL="114300" distR="114300" simplePos="0" relativeHeight="251669504" behindDoc="0" locked="0" layoutInCell="1" allowOverlap="1" wp14:anchorId="76150BCD" wp14:editId="2072B02F">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431F5907" w14:textId="77777777" w:rsidR="005B2EA4" w:rsidRPr="00252872" w:rsidRDefault="00252872">
                          <w:pPr>
                            <w:spacing w:line="160" w:lineRule="exact"/>
                            <w:rPr>
                              <w:sz w:val="16"/>
                              <w:szCs w:val="16"/>
                              <w:lang w:val="en-US"/>
                            </w:rPr>
                          </w:pPr>
                          <w:r w:rsidRPr="00252872">
                            <w:rPr>
                              <w:sz w:val="16"/>
                              <w:szCs w:val="16"/>
                              <w:lang w:val="en-US"/>
                            </w:rPr>
                            <w:t xml:space="preserve">CNH </w:t>
                          </w:r>
                        </w:p>
                        <w:p w14:paraId="24A74593" w14:textId="77777777" w:rsidR="005B2EA4" w:rsidRPr="00252872" w:rsidRDefault="00252872">
                          <w:pPr>
                            <w:spacing w:line="160" w:lineRule="exact"/>
                            <w:rPr>
                              <w:sz w:val="16"/>
                              <w:szCs w:val="16"/>
                              <w:lang w:val="en-US"/>
                            </w:rPr>
                          </w:pPr>
                          <w:r w:rsidRPr="00252872">
                            <w:rPr>
                              <w:sz w:val="16"/>
                              <w:szCs w:val="16"/>
                              <w:lang w:val="en-US"/>
                            </w:rPr>
                            <w:t>Österreich GmbH Steyrer Straße 32 4300 St. Valentin, Österreich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150BCD" id="_x0000_t202" coordsize="21600,21600" o:spt="202" path="m,l,21600r21600,l21600,xe">
              <v:stroke joinstyle="miter"/>
              <v:path gradientshapeok="t" o:connecttype="rect"/>
            </v:shapetype>
            <v:shape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431F5907" w14:textId="77777777" w:rsidR="005B2EA4" w:rsidRPr="00252872" w:rsidRDefault="00252872">
                    <w:pPr>
                      <w:spacing w:line="160" w:lineRule="exact"/>
                      <w:rPr>
                        <w:sz w:val="16"/>
                        <w:szCs w:val="16"/>
                        <w:lang w:val="en-US"/>
                      </w:rPr>
                    </w:pPr>
                    <w:r w:rsidRPr="00252872">
                      <w:rPr>
                        <w:sz w:val="16"/>
                        <w:szCs w:val="16"/>
                        <w:lang w:val="en-US"/>
                      </w:rPr>
                      <w:t xml:space="preserve">CNH </w:t>
                    </w:r>
                  </w:p>
                  <w:p w14:paraId="24A74593" w14:textId="77777777" w:rsidR="005B2EA4" w:rsidRPr="00252872" w:rsidRDefault="00252872">
                    <w:pPr>
                      <w:spacing w:line="160" w:lineRule="exact"/>
                      <w:rPr>
                        <w:sz w:val="16"/>
                        <w:szCs w:val="16"/>
                        <w:lang w:val="en-US"/>
                      </w:rPr>
                    </w:pPr>
                    <w:r w:rsidRPr="00252872">
                      <w:rPr>
                        <w:sz w:val="16"/>
                        <w:szCs w:val="16"/>
                        <w:lang w:val="en-US"/>
                      </w:rPr>
                      <w:t>Österreich GmbH Steyrer Straße 32 4300 St. Valentin, Österreich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EFE7F" w14:textId="77777777" w:rsidR="00016288" w:rsidRDefault="00016288" w:rsidP="00C90389">
      <w:r>
        <w:separator/>
      </w:r>
    </w:p>
  </w:footnote>
  <w:footnote w:type="continuationSeparator" w:id="0">
    <w:p w14:paraId="1A28B3CF" w14:textId="77777777" w:rsidR="00016288" w:rsidRDefault="00016288"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9C54" w14:textId="77777777" w:rsidR="005B2EA4" w:rsidRDefault="00252872">
    <w:pPr>
      <w:pStyle w:val="Intestazione"/>
    </w:pPr>
    <w:r>
      <w:rPr>
        <w:noProof/>
        <w:lang w:val="en-GB" w:eastAsia="en-GB"/>
      </w:rPr>
      <mc:AlternateContent>
        <mc:Choice Requires="wps">
          <w:drawing>
            <wp:anchor distT="0" distB="0" distL="114300" distR="114300" simplePos="0" relativeHeight="251659264" behindDoc="0" locked="0" layoutInCell="1" allowOverlap="1" wp14:anchorId="4E0377E9" wp14:editId="761C058D">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DDC686" w14:textId="77777777" w:rsidR="00C90389" w:rsidRPr="00790C6C" w:rsidRDefault="00E17021" w:rsidP="00790C6C">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4E0377E9">
              <v:stroke joinstyle="miter"/>
              <v:path gradientshapeok="t" o:connecttype="rect"/>
            </v:shapetype>
            <v:shape id="Casella di testo 1"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v:textbox>
                <w:txbxContent>
                  <w:p w:rsidRPr="00790C6C" w:rsidR="00C90389" w:rsidP="00790C6C" w:rsidRDefault="00E17021" w14:paraId="6ADDC686" w14:textId="77777777">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sidR="00661627">
      <w:rPr>
        <w:noProof/>
        <w:lang w:val="en-GB" w:eastAsia="en-GB"/>
      </w:rPr>
      <mc:AlternateContent>
        <mc:Choice Requires="wps">
          <w:drawing>
            <wp:anchor distT="0" distB="0" distL="114300" distR="114300" simplePos="0" relativeHeight="251674624" behindDoc="0" locked="0" layoutInCell="1" allowOverlap="1" wp14:anchorId="2C0DDF3F" wp14:editId="2B3A3274">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Casella di testo 9"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w14:anchorId="2C0DDF3F">
              <v:textbox>
                <w:txbxContent>
                  <w:p w:rsidR="00661627" w:rsidP="00661627" w:rsidRDefault="000D4274" w14:paraId="3BF80FBE" w14:textId="7777777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F473" w14:textId="77777777" w:rsidR="005B2EA4" w:rsidRDefault="00252872">
    <w:pPr>
      <w:pStyle w:val="Intestazione"/>
    </w:pPr>
    <w:r>
      <w:rPr>
        <w:noProof/>
        <w:lang w:val="en-GB" w:eastAsia="en-GB"/>
      </w:rPr>
      <mc:AlternateContent>
        <mc:Choice Requires="wps">
          <w:drawing>
            <wp:anchor distT="0" distB="0" distL="114300" distR="114300" simplePos="0" relativeHeight="251667456" behindDoc="0" locked="0" layoutInCell="1" allowOverlap="1" wp14:anchorId="52D60680" wp14:editId="77C43F1A">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BBE842E" w14:textId="77777777" w:rsidR="004D2934" w:rsidRPr="00790C6C" w:rsidRDefault="00E17021"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52D60680">
              <v:stroke joinstyle="miter"/>
              <v:path gradientshapeok="t" o:connecttype="rect"/>
            </v:shapetype>
            <v:shape id="Casella di testo 13"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v:textbox>
                <w:txbxContent>
                  <w:p w:rsidRPr="00790C6C" w:rsidR="004D2934" w:rsidP="004D2934" w:rsidRDefault="00E17021" w14:paraId="2BBE842E" w14:textId="77777777">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2">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2B094717" w14:textId="77777777" w:rsidR="005B2EA4" w:rsidRDefault="00252872">
    <w:pPr>
      <w:pStyle w:val="Intestazione"/>
    </w:pPr>
    <w:r>
      <w:rPr>
        <w:noProof/>
        <w:lang w:val="en-GB" w:eastAsia="en-GB"/>
      </w:rPr>
      <mc:AlternateContent>
        <mc:Choice Requires="wps">
          <w:drawing>
            <wp:anchor distT="0" distB="0" distL="114300" distR="114300" simplePos="0" relativeHeight="251672576" behindDoc="0" locked="0" layoutInCell="1" allowOverlap="1" wp14:anchorId="3EB5CA26" wp14:editId="5F18D777">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Casella di testo 4"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w14:anchorId="3EB5CA26">
              <v:textbox>
                <w:txbxContent>
                  <w:p w:rsidR="00745922" w:rsidRDefault="000D4274" w14:paraId="5B0A42B6" w14:textId="77777777">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proofState w:spelling="clean" w:grammar="clean"/>
  <w:attachedTemplate r:id="rId1"/>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0042E"/>
    <w:rsid w:val="0001344B"/>
    <w:rsid w:val="00016288"/>
    <w:rsid w:val="00076D9A"/>
    <w:rsid w:val="00096C1C"/>
    <w:rsid w:val="000C5764"/>
    <w:rsid w:val="000D4274"/>
    <w:rsid w:val="000E5918"/>
    <w:rsid w:val="00106841"/>
    <w:rsid w:val="00117600"/>
    <w:rsid w:val="00136990"/>
    <w:rsid w:val="00153A1F"/>
    <w:rsid w:val="00170079"/>
    <w:rsid w:val="001F2F38"/>
    <w:rsid w:val="001F694D"/>
    <w:rsid w:val="002018A7"/>
    <w:rsid w:val="002128DE"/>
    <w:rsid w:val="00252872"/>
    <w:rsid w:val="00256FCC"/>
    <w:rsid w:val="00273680"/>
    <w:rsid w:val="00294987"/>
    <w:rsid w:val="002A17AE"/>
    <w:rsid w:val="002A5927"/>
    <w:rsid w:val="002B42B1"/>
    <w:rsid w:val="002B60F1"/>
    <w:rsid w:val="002B6281"/>
    <w:rsid w:val="002C3749"/>
    <w:rsid w:val="003541B9"/>
    <w:rsid w:val="00363927"/>
    <w:rsid w:val="00366566"/>
    <w:rsid w:val="003C4644"/>
    <w:rsid w:val="003C502B"/>
    <w:rsid w:val="003F4A02"/>
    <w:rsid w:val="00405F26"/>
    <w:rsid w:val="00407FEF"/>
    <w:rsid w:val="004334B5"/>
    <w:rsid w:val="004657EA"/>
    <w:rsid w:val="004B591B"/>
    <w:rsid w:val="004D2934"/>
    <w:rsid w:val="004D4D73"/>
    <w:rsid w:val="004E3B06"/>
    <w:rsid w:val="004E3E18"/>
    <w:rsid w:val="00535F2A"/>
    <w:rsid w:val="00557B2E"/>
    <w:rsid w:val="00590BF3"/>
    <w:rsid w:val="005A05DB"/>
    <w:rsid w:val="005A090D"/>
    <w:rsid w:val="005B2EA4"/>
    <w:rsid w:val="005F46FA"/>
    <w:rsid w:val="0062647B"/>
    <w:rsid w:val="00661627"/>
    <w:rsid w:val="0066513A"/>
    <w:rsid w:val="007079CA"/>
    <w:rsid w:val="00745922"/>
    <w:rsid w:val="00783BA4"/>
    <w:rsid w:val="007B47CF"/>
    <w:rsid w:val="00813256"/>
    <w:rsid w:val="00841906"/>
    <w:rsid w:val="00875F07"/>
    <w:rsid w:val="00881400"/>
    <w:rsid w:val="00891A22"/>
    <w:rsid w:val="00894AB9"/>
    <w:rsid w:val="00934CDF"/>
    <w:rsid w:val="0094711F"/>
    <w:rsid w:val="00962095"/>
    <w:rsid w:val="00986A23"/>
    <w:rsid w:val="009E0A0C"/>
    <w:rsid w:val="009E3FC3"/>
    <w:rsid w:val="009E4949"/>
    <w:rsid w:val="00A22DB0"/>
    <w:rsid w:val="00A529B5"/>
    <w:rsid w:val="00AB49B5"/>
    <w:rsid w:val="00AC7A67"/>
    <w:rsid w:val="00AD3B81"/>
    <w:rsid w:val="00AF4001"/>
    <w:rsid w:val="00B86223"/>
    <w:rsid w:val="00BB7C4E"/>
    <w:rsid w:val="00BF0D90"/>
    <w:rsid w:val="00BF1882"/>
    <w:rsid w:val="00C01D32"/>
    <w:rsid w:val="00C02893"/>
    <w:rsid w:val="00C13007"/>
    <w:rsid w:val="00C3777D"/>
    <w:rsid w:val="00C90389"/>
    <w:rsid w:val="00CB129F"/>
    <w:rsid w:val="00CE308B"/>
    <w:rsid w:val="00CE7CBF"/>
    <w:rsid w:val="00D21775"/>
    <w:rsid w:val="00D5111C"/>
    <w:rsid w:val="00D74103"/>
    <w:rsid w:val="00DA0449"/>
    <w:rsid w:val="00DC0B18"/>
    <w:rsid w:val="00DC3D6E"/>
    <w:rsid w:val="00DC3F96"/>
    <w:rsid w:val="00E11D04"/>
    <w:rsid w:val="00E17021"/>
    <w:rsid w:val="00E2355A"/>
    <w:rsid w:val="00E5711F"/>
    <w:rsid w:val="00E6289B"/>
    <w:rsid w:val="00E6383E"/>
    <w:rsid w:val="00E95CB9"/>
    <w:rsid w:val="00EA06A4"/>
    <w:rsid w:val="00EB3D5C"/>
    <w:rsid w:val="00F323F9"/>
    <w:rsid w:val="00F61EC8"/>
    <w:rsid w:val="00F76203"/>
    <w:rsid w:val="00F840CD"/>
    <w:rsid w:val="00F942B3"/>
    <w:rsid w:val="00FB07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010870"/>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34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90389"/>
    <w:pPr>
      <w:tabs>
        <w:tab w:val="center" w:pos="4819"/>
        <w:tab w:val="right" w:pos="9638"/>
      </w:tabs>
    </w:pPr>
  </w:style>
  <w:style w:type="character" w:customStyle="1" w:styleId="IntestazioneCarattere">
    <w:name w:val="Intestazione Carattere"/>
    <w:basedOn w:val="Carpredefinitoparagrafo"/>
    <w:link w:val="Intestazione"/>
    <w:uiPriority w:val="99"/>
    <w:rsid w:val="00C90389"/>
  </w:style>
  <w:style w:type="paragraph" w:styleId="Pidipagina">
    <w:name w:val="footer"/>
    <w:basedOn w:val="Normale"/>
    <w:link w:val="PidipaginaCarattere"/>
    <w:uiPriority w:val="99"/>
    <w:unhideWhenUsed/>
    <w:rsid w:val="00C90389"/>
    <w:pPr>
      <w:tabs>
        <w:tab w:val="center" w:pos="4819"/>
        <w:tab w:val="right" w:pos="9638"/>
      </w:tabs>
    </w:pPr>
  </w:style>
  <w:style w:type="character" w:customStyle="1" w:styleId="PidipaginaCarattere">
    <w:name w:val="Piè di pagina Carattere"/>
    <w:basedOn w:val="Carpredefinitoparagrafo"/>
    <w:link w:val="Pidipagina"/>
    <w:uiPriority w:val="99"/>
    <w:rsid w:val="00C90389"/>
  </w:style>
  <w:style w:type="character" w:styleId="Collegamentoipertestuale">
    <w:name w:val="Hyperlink"/>
    <w:basedOn w:val="Carpredefinitoparagrafo"/>
    <w:uiPriority w:val="99"/>
    <w:unhideWhenUsed/>
    <w:rsid w:val="00C13007"/>
    <w:rPr>
      <w:color w:val="EE7B08" w:themeColor="hyperlink"/>
      <w:u w:val="single"/>
    </w:rPr>
  </w:style>
  <w:style w:type="character" w:customStyle="1" w:styleId="Menzionenonrisolta1">
    <w:name w:val="Menzione non risolta1"/>
    <w:basedOn w:val="Carpredefinitoparagrafo"/>
    <w:uiPriority w:val="99"/>
    <w:semiHidden/>
    <w:unhideWhenUsed/>
    <w:rsid w:val="00C13007"/>
    <w:rPr>
      <w:color w:val="605E5C"/>
      <w:shd w:val="clear" w:color="auto" w:fill="E1DFDD"/>
    </w:rPr>
  </w:style>
  <w:style w:type="character" w:styleId="Enfasicorsivo">
    <w:name w:val="Emphasis"/>
    <w:basedOn w:val="Carpredefinitoparagrafo"/>
    <w:uiPriority w:val="20"/>
    <w:qFormat/>
    <w:rsid w:val="003C4644"/>
    <w:rPr>
      <w:i/>
      <w:iCs/>
    </w:rPr>
  </w:style>
  <w:style w:type="paragraph" w:styleId="NormaleWeb">
    <w:name w:val="Normal (Web)"/>
    <w:basedOn w:val="Normale"/>
    <w:uiPriority w:val="99"/>
    <w:semiHidden/>
    <w:unhideWhenUsed/>
    <w:rsid w:val="00986A23"/>
    <w:pPr>
      <w:spacing w:before="100" w:beforeAutospacing="1" w:after="100" w:afterAutospacing="1"/>
    </w:pPr>
    <w:rPr>
      <w:rFonts w:ascii="Times New Roman" w:eastAsia="Times New Roman" w:hAnsi="Times New Roman" w:cs="Times New Roman"/>
      <w:lang w:val="en-GB" w:eastAsia="en-GB"/>
    </w:rPr>
  </w:style>
  <w:style w:type="character" w:styleId="Rimandocommento">
    <w:name w:val="annotation reference"/>
    <w:basedOn w:val="Carpredefinitoparagrafo"/>
    <w:uiPriority w:val="99"/>
    <w:semiHidden/>
    <w:unhideWhenUsed/>
    <w:rsid w:val="00E2355A"/>
    <w:rPr>
      <w:sz w:val="16"/>
      <w:szCs w:val="16"/>
    </w:rPr>
  </w:style>
  <w:style w:type="paragraph" w:styleId="Testocommento">
    <w:name w:val="annotation text"/>
    <w:basedOn w:val="Normale"/>
    <w:link w:val="TestocommentoCarattere"/>
    <w:uiPriority w:val="99"/>
    <w:unhideWhenUsed/>
    <w:rsid w:val="00E2355A"/>
    <w:rPr>
      <w:sz w:val="20"/>
      <w:szCs w:val="20"/>
    </w:rPr>
  </w:style>
  <w:style w:type="character" w:customStyle="1" w:styleId="TestocommentoCarattere">
    <w:name w:val="Testo commento Carattere"/>
    <w:basedOn w:val="Carpredefinitoparagrafo"/>
    <w:link w:val="Testocommento"/>
    <w:uiPriority w:val="99"/>
    <w:rsid w:val="00E2355A"/>
    <w:rPr>
      <w:sz w:val="20"/>
      <w:szCs w:val="20"/>
    </w:rPr>
  </w:style>
  <w:style w:type="paragraph" w:styleId="Soggettocommento">
    <w:name w:val="annotation subject"/>
    <w:basedOn w:val="Testocommento"/>
    <w:next w:val="Testocommento"/>
    <w:link w:val="SoggettocommentoCarattere"/>
    <w:uiPriority w:val="99"/>
    <w:semiHidden/>
    <w:unhideWhenUsed/>
    <w:rsid w:val="00E2355A"/>
    <w:rPr>
      <w:b/>
      <w:bCs/>
    </w:rPr>
  </w:style>
  <w:style w:type="character" w:customStyle="1" w:styleId="SoggettocommentoCarattere">
    <w:name w:val="Soggetto commento Carattere"/>
    <w:basedOn w:val="TestocommentoCarattere"/>
    <w:link w:val="Soggettocommento"/>
    <w:uiPriority w:val="99"/>
    <w:semiHidden/>
    <w:rsid w:val="00E2355A"/>
    <w:rPr>
      <w:b/>
      <w:bCs/>
      <w:sz w:val="20"/>
      <w:szCs w:val="20"/>
    </w:rPr>
  </w:style>
  <w:style w:type="paragraph" w:styleId="Testofumetto">
    <w:name w:val="Balloon Text"/>
    <w:basedOn w:val="Normale"/>
    <w:link w:val="TestofumettoCarattere"/>
    <w:uiPriority w:val="99"/>
    <w:semiHidden/>
    <w:unhideWhenUsed/>
    <w:rsid w:val="0036656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65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0866">
      <w:bodyDiv w:val="1"/>
      <w:marLeft w:val="0"/>
      <w:marRight w:val="0"/>
      <w:marTop w:val="0"/>
      <w:marBottom w:val="0"/>
      <w:divBdr>
        <w:top w:val="none" w:sz="0" w:space="0" w:color="auto"/>
        <w:left w:val="none" w:sz="0" w:space="0" w:color="auto"/>
        <w:bottom w:val="none" w:sz="0" w:space="0" w:color="auto"/>
        <w:right w:val="none" w:sz="0" w:space="0" w:color="auto"/>
      </w:divBdr>
    </w:div>
    <w:div w:id="164440750">
      <w:bodyDiv w:val="1"/>
      <w:marLeft w:val="0"/>
      <w:marRight w:val="0"/>
      <w:marTop w:val="0"/>
      <w:marBottom w:val="0"/>
      <w:divBdr>
        <w:top w:val="none" w:sz="0" w:space="0" w:color="auto"/>
        <w:left w:val="none" w:sz="0" w:space="0" w:color="auto"/>
        <w:bottom w:val="none" w:sz="0" w:space="0" w:color="auto"/>
        <w:right w:val="none" w:sz="0" w:space="0" w:color="auto"/>
      </w:divBdr>
    </w:div>
    <w:div w:id="175762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eihmediacentr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svg"/><Relationship Id="rId5" Type="http://schemas.openxmlformats.org/officeDocument/2006/relationships/image" Target="media/image20.png"/><Relationship Id="rId4" Type="http://schemas.openxmlformats.org/officeDocument/2006/relationships/image" Target="media/image3.sv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svg"/><Relationship Id="rId5" Type="http://schemas.openxmlformats.org/officeDocument/2006/relationships/image" Target="media/image20.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Props1.xml><?xml version="1.0" encoding="utf-8"?>
<ds:datastoreItem xmlns:ds="http://schemas.openxmlformats.org/officeDocument/2006/customXml" ds:itemID="{21BA6958-FC79-4312-B4C0-F0C1AA3BBF64}">
  <ds:schemaRefs>
    <ds:schemaRef ds:uri="http://schemas.openxmlformats.org/officeDocument/2006/bibliography"/>
  </ds:schemaRefs>
</ds:datastoreItem>
</file>

<file path=customXml/itemProps2.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A4.dotx</Template>
  <TotalTime>4</TotalTime>
  <Pages>2</Pages>
  <Words>610</Words>
  <Characters>3483</Characters>
  <Application>Microsoft Office Word</Application>
  <DocSecurity>0</DocSecurity>
  <Lines>29</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docId:F426CC8F3F69D5A6666CC64739DD3621</cp:keywords>
  <dc:description/>
  <cp:lastModifiedBy>MARENGO Manuela (CNH)</cp:lastModifiedBy>
  <cp:revision>6</cp:revision>
  <cp:lastPrinted>2023-01-31T10:10:00Z</cp:lastPrinted>
  <dcterms:created xsi:type="dcterms:W3CDTF">2024-04-10T08:26:00Z</dcterms:created>
  <dcterms:modified xsi:type="dcterms:W3CDTF">2024-04-10T10:14:00Z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ies>
</file>