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B" w:rsidRPr="008D431E" w:rsidRDefault="00D56A4B" w:rsidP="00D56A4B">
      <w:pPr>
        <w:jc w:val="center"/>
        <w:rPr>
          <w:rFonts w:cs="Arial"/>
          <w:b/>
          <w:sz w:val="32"/>
        </w:rPr>
      </w:pPr>
    </w:p>
    <w:p w:rsidR="00D56A4B" w:rsidRPr="008D431E" w:rsidRDefault="008B4036" w:rsidP="00D56A4B">
      <w:pPr>
        <w:jc w:val="center"/>
        <w:rPr>
          <w:rFonts w:cs="Arial"/>
          <w:b/>
          <w:sz w:val="28"/>
        </w:rPr>
      </w:pPr>
      <w:r w:rsidRPr="008D431E">
        <w:rPr>
          <w:rFonts w:cs="Arial"/>
          <w:b/>
          <w:sz w:val="28"/>
        </w:rPr>
        <w:t>Messi and Rose Inspire Young Athletes in adidas Film Series Sport 15</w:t>
      </w:r>
      <w:r w:rsidR="00A337CC" w:rsidRPr="008D431E">
        <w:rPr>
          <w:rFonts w:cs="Arial"/>
          <w:b/>
          <w:sz w:val="28"/>
        </w:rPr>
        <w:t xml:space="preserve"> </w:t>
      </w:r>
    </w:p>
    <w:p w:rsidR="00D56A4B" w:rsidRPr="008D431E" w:rsidRDefault="00D56A4B" w:rsidP="00D56A4B">
      <w:pPr>
        <w:rPr>
          <w:rFonts w:cs="Arial"/>
          <w:b/>
          <w:sz w:val="32"/>
        </w:rPr>
      </w:pPr>
    </w:p>
    <w:p w:rsidR="001A6B6F" w:rsidRPr="008D431E" w:rsidRDefault="00D56A4B" w:rsidP="001A6B6F">
      <w:pPr>
        <w:jc w:val="both"/>
        <w:rPr>
          <w:rFonts w:eastAsia="Times New Roman"/>
          <w:sz w:val="22"/>
          <w:szCs w:val="22"/>
          <w:lang w:eastAsia="en-GB"/>
        </w:rPr>
      </w:pPr>
      <w:proofErr w:type="spellStart"/>
      <w:r w:rsidRPr="008D431E">
        <w:rPr>
          <w:rFonts w:eastAsia="Times New Roman"/>
          <w:b/>
          <w:sz w:val="22"/>
          <w:szCs w:val="22"/>
          <w:lang w:eastAsia="en-GB"/>
        </w:rPr>
        <w:t>Herzogenaurach</w:t>
      </w:r>
      <w:proofErr w:type="spellEnd"/>
      <w:r w:rsidRPr="008D431E">
        <w:rPr>
          <w:rFonts w:eastAsia="Times New Roman"/>
          <w:b/>
          <w:sz w:val="22"/>
          <w:szCs w:val="22"/>
          <w:lang w:eastAsia="en-GB"/>
        </w:rPr>
        <w:t xml:space="preserve">, </w:t>
      </w:r>
      <w:r w:rsidR="00A337CC" w:rsidRPr="008D431E">
        <w:rPr>
          <w:rFonts w:eastAsia="Times New Roman"/>
          <w:b/>
          <w:sz w:val="22"/>
          <w:szCs w:val="22"/>
          <w:lang w:eastAsia="en-GB"/>
        </w:rPr>
        <w:t xml:space="preserve">February </w:t>
      </w:r>
      <w:r w:rsidR="001A6B6F" w:rsidRPr="008D431E">
        <w:rPr>
          <w:rFonts w:eastAsia="Times New Roman"/>
          <w:b/>
          <w:sz w:val="22"/>
          <w:szCs w:val="22"/>
          <w:lang w:eastAsia="en-GB"/>
        </w:rPr>
        <w:t>13</w:t>
      </w:r>
      <w:r w:rsidRPr="008D431E">
        <w:rPr>
          <w:rFonts w:eastAsia="Times New Roman"/>
          <w:b/>
          <w:sz w:val="22"/>
          <w:szCs w:val="22"/>
          <w:lang w:eastAsia="en-GB"/>
        </w:rPr>
        <w:t>,</w:t>
      </w:r>
      <w:r w:rsidR="00A337CC" w:rsidRPr="008D431E">
        <w:rPr>
          <w:rFonts w:eastAsia="Times New Roman"/>
          <w:b/>
          <w:sz w:val="22"/>
          <w:szCs w:val="22"/>
          <w:lang w:eastAsia="en-GB"/>
        </w:rPr>
        <w:t xml:space="preserve"> 2015</w:t>
      </w:r>
      <w:r w:rsidRPr="008D431E">
        <w:rPr>
          <w:rFonts w:eastAsia="Times New Roman"/>
          <w:b/>
          <w:sz w:val="22"/>
          <w:szCs w:val="22"/>
          <w:lang w:eastAsia="en-GB"/>
        </w:rPr>
        <w:t xml:space="preserve"> </w:t>
      </w:r>
      <w:r w:rsidRPr="008D431E">
        <w:rPr>
          <w:rFonts w:eastAsia="Times New Roman"/>
          <w:sz w:val="22"/>
          <w:szCs w:val="22"/>
          <w:lang w:eastAsia="en-GB"/>
        </w:rPr>
        <w:t>–</w:t>
      </w:r>
      <w:r w:rsidRPr="008D431E">
        <w:rPr>
          <w:rFonts w:eastAsia="Times New Roman"/>
          <w:b/>
          <w:sz w:val="22"/>
          <w:szCs w:val="22"/>
          <w:lang w:eastAsia="en-GB"/>
        </w:rPr>
        <w:t xml:space="preserve"> 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Starting today, adidas brings its passion for sport to life with the </w:t>
      </w:r>
      <w:r w:rsidR="00BA18EB" w:rsidRPr="008D431E">
        <w:rPr>
          <w:rFonts w:eastAsia="Times New Roman"/>
          <w:sz w:val="22"/>
          <w:szCs w:val="22"/>
          <w:lang w:eastAsia="en-GB"/>
        </w:rPr>
        <w:t xml:space="preserve">global 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roll-out of a series of films called Sport 15. Throughout the year, Sport 15 will tell brand stories that motivate and inspire young athletes </w:t>
      </w:r>
      <w:r w:rsidR="00EC2382" w:rsidRPr="008D431E">
        <w:rPr>
          <w:rFonts w:eastAsia="Times New Roman"/>
          <w:sz w:val="22"/>
          <w:szCs w:val="22"/>
          <w:lang w:eastAsia="en-GB"/>
        </w:rPr>
        <w:t xml:space="preserve">to be the best you can be at any level or at any sport </w:t>
      </w:r>
      <w:r w:rsidR="001A6B6F" w:rsidRPr="008D431E">
        <w:rPr>
          <w:rFonts w:eastAsia="Times New Roman"/>
          <w:sz w:val="22"/>
          <w:szCs w:val="22"/>
          <w:lang w:eastAsia="en-GB"/>
        </w:rPr>
        <w:t>around the world.</w:t>
      </w:r>
      <w:r w:rsidR="00BA18EB" w:rsidRPr="008D431E">
        <w:rPr>
          <w:rFonts w:eastAsia="Times New Roman"/>
          <w:sz w:val="22"/>
          <w:szCs w:val="22"/>
          <w:lang w:eastAsia="en-GB"/>
        </w:rPr>
        <w:t xml:space="preserve"> </w:t>
      </w:r>
      <w:r w:rsidR="008B4036" w:rsidRPr="008D431E">
        <w:rPr>
          <w:rFonts w:eastAsia="Times New Roman"/>
          <w:sz w:val="22"/>
          <w:szCs w:val="22"/>
          <w:lang w:eastAsia="en-GB"/>
        </w:rPr>
        <w:t>The first films show adidas icons from various sports including Lionel Messi, James Rodriguez and Derrick Rose.</w:t>
      </w: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</w:p>
    <w:p w:rsidR="001A6B6F" w:rsidRPr="008D431E" w:rsidRDefault="00115255" w:rsidP="001A6B6F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>“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Sport 15 is more than a campaign. Sport 15 is a long-term investment into </w:t>
      </w:r>
      <w:r w:rsidR="00BA18EB" w:rsidRPr="008D431E">
        <w:rPr>
          <w:rFonts w:eastAsia="Times New Roman"/>
          <w:sz w:val="22"/>
          <w:szCs w:val="22"/>
          <w:lang w:eastAsia="en-GB"/>
        </w:rPr>
        <w:t>our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 </w:t>
      </w:r>
      <w:r w:rsidRPr="008D431E">
        <w:rPr>
          <w:rFonts w:eastAsia="Times New Roman"/>
          <w:sz w:val="22"/>
          <w:szCs w:val="22"/>
          <w:lang w:eastAsia="en-GB"/>
        </w:rPr>
        <w:t>brand,</w:t>
      </w:r>
      <w:proofErr w:type="gramStart"/>
      <w:r w:rsidRPr="008D431E">
        <w:rPr>
          <w:rFonts w:eastAsia="Times New Roman"/>
          <w:sz w:val="22"/>
          <w:szCs w:val="22"/>
          <w:lang w:eastAsia="en-GB"/>
        </w:rPr>
        <w:t>”</w:t>
      </w:r>
      <w:r w:rsidR="001A6B6F" w:rsidRPr="008D431E">
        <w:rPr>
          <w:rFonts w:eastAsia="Times New Roman"/>
          <w:sz w:val="22"/>
          <w:szCs w:val="22"/>
          <w:lang w:eastAsia="en-GB"/>
        </w:rPr>
        <w:t>,</w:t>
      </w:r>
      <w:proofErr w:type="gramEnd"/>
      <w:r w:rsidR="001A6B6F" w:rsidRPr="008D431E">
        <w:rPr>
          <w:rFonts w:eastAsia="Times New Roman"/>
          <w:sz w:val="22"/>
          <w:szCs w:val="22"/>
          <w:lang w:eastAsia="en-GB"/>
        </w:rPr>
        <w:t xml:space="preserve"> says Eric Liedtke, adidas Board Member responsible for Global Brands. </w:t>
      </w:r>
      <w:r w:rsidRPr="008D431E">
        <w:rPr>
          <w:rFonts w:eastAsia="Times New Roman"/>
          <w:sz w:val="22"/>
          <w:szCs w:val="22"/>
          <w:lang w:eastAsia="en-GB"/>
        </w:rPr>
        <w:t>“</w:t>
      </w:r>
      <w:proofErr w:type="gramStart"/>
      <w:r w:rsidR="001A6B6F" w:rsidRPr="008D431E">
        <w:rPr>
          <w:rFonts w:eastAsia="Times New Roman"/>
          <w:sz w:val="22"/>
          <w:szCs w:val="22"/>
          <w:lang w:eastAsia="en-GB"/>
        </w:rPr>
        <w:t>adidas</w:t>
      </w:r>
      <w:proofErr w:type="gramEnd"/>
      <w:r w:rsidR="001A6B6F" w:rsidRPr="008D431E">
        <w:rPr>
          <w:rFonts w:eastAsia="Times New Roman"/>
          <w:sz w:val="22"/>
          <w:szCs w:val="22"/>
          <w:lang w:eastAsia="en-GB"/>
        </w:rPr>
        <w:t xml:space="preserve"> has a long</w:t>
      </w:r>
      <w:r w:rsidR="00BA18EB" w:rsidRPr="008D431E">
        <w:rPr>
          <w:rFonts w:eastAsia="Times New Roman"/>
          <w:sz w:val="22"/>
          <w:szCs w:val="22"/>
          <w:lang w:eastAsia="en-GB"/>
        </w:rPr>
        <w:t>er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 legacy in every sport </w:t>
      </w:r>
      <w:r w:rsidR="00BA18EB" w:rsidRPr="008D431E">
        <w:rPr>
          <w:rFonts w:eastAsia="Times New Roman"/>
          <w:sz w:val="22"/>
          <w:szCs w:val="22"/>
          <w:lang w:eastAsia="en-GB"/>
        </w:rPr>
        <w:t>than any of our competitors</w:t>
      </w:r>
      <w:r w:rsidR="001A6B6F" w:rsidRPr="008D431E">
        <w:rPr>
          <w:rFonts w:eastAsia="Times New Roman"/>
          <w:sz w:val="22"/>
          <w:szCs w:val="22"/>
          <w:lang w:eastAsia="en-GB"/>
        </w:rPr>
        <w:t>. Therefore, we know sport and athletes better than anyone else.</w:t>
      </w:r>
      <w:r w:rsidRPr="008D431E">
        <w:rPr>
          <w:rFonts w:eastAsia="Times New Roman"/>
          <w:sz w:val="22"/>
          <w:szCs w:val="22"/>
          <w:lang w:eastAsia="en-GB"/>
        </w:rPr>
        <w:t>”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 </w:t>
      </w: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 xml:space="preserve">The campaign </w:t>
      </w:r>
      <w:r w:rsidR="00BA18EB" w:rsidRPr="008D431E">
        <w:rPr>
          <w:rFonts w:eastAsia="Times New Roman"/>
          <w:sz w:val="22"/>
          <w:szCs w:val="22"/>
          <w:lang w:eastAsia="en-GB"/>
        </w:rPr>
        <w:t>will be</w:t>
      </w:r>
      <w:r w:rsidRPr="008D431E">
        <w:rPr>
          <w:rFonts w:eastAsia="Times New Roman"/>
          <w:sz w:val="22"/>
          <w:szCs w:val="22"/>
          <w:lang w:eastAsia="en-GB"/>
        </w:rPr>
        <w:t xml:space="preserve"> primarily </w:t>
      </w:r>
      <w:r w:rsidR="00BA18EB" w:rsidRPr="008D431E">
        <w:rPr>
          <w:rFonts w:eastAsia="Times New Roman"/>
          <w:sz w:val="22"/>
          <w:szCs w:val="22"/>
          <w:lang w:eastAsia="en-GB"/>
        </w:rPr>
        <w:t xml:space="preserve">activated </w:t>
      </w:r>
      <w:r w:rsidRPr="008D431E">
        <w:rPr>
          <w:rFonts w:eastAsia="Times New Roman"/>
          <w:sz w:val="22"/>
          <w:szCs w:val="22"/>
          <w:lang w:eastAsia="en-GB"/>
        </w:rPr>
        <w:t>via broadcast. In addition, adidas also brings the story to life through a strategic roll</w:t>
      </w:r>
      <w:r w:rsidR="00115255" w:rsidRPr="008D431E">
        <w:rPr>
          <w:rFonts w:eastAsia="Times New Roman"/>
          <w:sz w:val="22"/>
          <w:szCs w:val="22"/>
          <w:lang w:eastAsia="en-GB"/>
        </w:rPr>
        <w:t>-</w:t>
      </w:r>
      <w:r w:rsidRPr="008D431E">
        <w:rPr>
          <w:rFonts w:eastAsia="Times New Roman"/>
          <w:sz w:val="22"/>
          <w:szCs w:val="22"/>
          <w:lang w:eastAsia="en-GB"/>
        </w:rPr>
        <w:t xml:space="preserve">out across social media </w:t>
      </w:r>
      <w:r w:rsidR="00BA18EB" w:rsidRPr="008D431E">
        <w:rPr>
          <w:rFonts w:eastAsia="Times New Roman"/>
          <w:sz w:val="22"/>
          <w:szCs w:val="22"/>
          <w:lang w:eastAsia="en-GB"/>
        </w:rPr>
        <w:t>via</w:t>
      </w:r>
      <w:r w:rsidRPr="008D431E">
        <w:rPr>
          <w:rFonts w:eastAsia="Times New Roman"/>
          <w:sz w:val="22"/>
          <w:szCs w:val="22"/>
          <w:lang w:eastAsia="en-GB"/>
        </w:rPr>
        <w:t xml:space="preserve"> the </w:t>
      </w:r>
      <w:r w:rsidR="00BA18EB" w:rsidRPr="008D431E">
        <w:rPr>
          <w:rFonts w:eastAsia="Times New Roman"/>
          <w:sz w:val="22"/>
          <w:szCs w:val="22"/>
          <w:lang w:eastAsia="en-GB"/>
        </w:rPr>
        <w:t xml:space="preserve">unique </w:t>
      </w:r>
      <w:r w:rsidRPr="008D431E">
        <w:rPr>
          <w:rFonts w:eastAsia="Times New Roman"/>
          <w:sz w:val="22"/>
          <w:szCs w:val="22"/>
          <w:lang w:eastAsia="en-GB"/>
        </w:rPr>
        <w:t xml:space="preserve">adidas network of global news rooms </w:t>
      </w:r>
      <w:r w:rsidR="00BA18EB" w:rsidRPr="008D431E">
        <w:rPr>
          <w:rFonts w:eastAsia="Times New Roman"/>
          <w:sz w:val="22"/>
          <w:szCs w:val="22"/>
          <w:lang w:eastAsia="en-GB"/>
        </w:rPr>
        <w:t xml:space="preserve">located in </w:t>
      </w:r>
      <w:proofErr w:type="spellStart"/>
      <w:r w:rsidRPr="008D431E">
        <w:rPr>
          <w:rFonts w:eastAsia="Times New Roman"/>
          <w:sz w:val="22"/>
          <w:szCs w:val="22"/>
          <w:lang w:eastAsia="en-GB"/>
        </w:rPr>
        <w:t>Herzogenaurach</w:t>
      </w:r>
      <w:proofErr w:type="spellEnd"/>
      <w:r w:rsidRPr="008D431E">
        <w:rPr>
          <w:rFonts w:eastAsia="Times New Roman"/>
          <w:sz w:val="22"/>
          <w:szCs w:val="22"/>
          <w:lang w:eastAsia="en-GB"/>
        </w:rPr>
        <w:t>, London, Portland, Shanghai, Moscow</w:t>
      </w:r>
      <w:r w:rsidR="00BA18EB" w:rsidRPr="008D431E">
        <w:rPr>
          <w:rFonts w:eastAsia="Times New Roman"/>
          <w:sz w:val="22"/>
          <w:szCs w:val="22"/>
          <w:lang w:eastAsia="en-GB"/>
        </w:rPr>
        <w:t xml:space="preserve"> and</w:t>
      </w:r>
      <w:r w:rsidRPr="008D431E">
        <w:rPr>
          <w:rFonts w:eastAsia="Times New Roman"/>
          <w:sz w:val="22"/>
          <w:szCs w:val="22"/>
          <w:lang w:eastAsia="en-GB"/>
        </w:rPr>
        <w:t xml:space="preserve"> Rio de Janeiro.</w:t>
      </w: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</w:p>
    <w:p w:rsidR="00EC2382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>With Sport 15</w:t>
      </w:r>
      <w:r w:rsidR="00115255" w:rsidRPr="008D431E">
        <w:rPr>
          <w:rFonts w:eastAsia="Times New Roman"/>
          <w:sz w:val="22"/>
          <w:szCs w:val="22"/>
          <w:lang w:eastAsia="en-GB"/>
        </w:rPr>
        <w:t>,</w:t>
      </w:r>
      <w:r w:rsidRPr="008D431E">
        <w:rPr>
          <w:rFonts w:eastAsia="Times New Roman"/>
          <w:sz w:val="22"/>
          <w:szCs w:val="22"/>
          <w:lang w:eastAsia="en-GB"/>
        </w:rPr>
        <w:t xml:space="preserve"> adidas elevates its communication to a new level. Starting with the first </w:t>
      </w:r>
      <w:r w:rsidR="00EC2382" w:rsidRPr="008D431E">
        <w:rPr>
          <w:rFonts w:eastAsia="Times New Roman"/>
          <w:sz w:val="22"/>
          <w:szCs w:val="22"/>
          <w:lang w:eastAsia="en-GB"/>
        </w:rPr>
        <w:t>60</w:t>
      </w:r>
      <w:r w:rsidR="00115255" w:rsidRPr="008D431E">
        <w:rPr>
          <w:rFonts w:eastAsia="Times New Roman"/>
          <w:sz w:val="22"/>
          <w:szCs w:val="22"/>
          <w:lang w:eastAsia="en-GB"/>
        </w:rPr>
        <w:t>-</w:t>
      </w:r>
      <w:r w:rsidR="00EC2382" w:rsidRPr="008D431E">
        <w:rPr>
          <w:rFonts w:eastAsia="Times New Roman"/>
          <w:sz w:val="22"/>
          <w:szCs w:val="22"/>
          <w:lang w:eastAsia="en-GB"/>
        </w:rPr>
        <w:t xml:space="preserve"> and 30</w:t>
      </w:r>
      <w:r w:rsidR="00115255" w:rsidRPr="008D431E">
        <w:rPr>
          <w:rFonts w:eastAsia="Times New Roman"/>
          <w:sz w:val="22"/>
          <w:szCs w:val="22"/>
          <w:lang w:eastAsia="en-GB"/>
        </w:rPr>
        <w:t>-</w:t>
      </w:r>
      <w:r w:rsidR="00EC2382" w:rsidRPr="008D431E">
        <w:rPr>
          <w:rFonts w:eastAsia="Times New Roman"/>
          <w:sz w:val="22"/>
          <w:szCs w:val="22"/>
          <w:lang w:eastAsia="en-GB"/>
        </w:rPr>
        <w:t>second c</w:t>
      </w:r>
      <w:r w:rsidRPr="008D431E">
        <w:rPr>
          <w:rFonts w:eastAsia="Times New Roman"/>
          <w:sz w:val="22"/>
          <w:szCs w:val="22"/>
          <w:lang w:eastAsia="en-GB"/>
        </w:rPr>
        <w:t>ommercials ’</w:t>
      </w:r>
      <w:proofErr w:type="gramStart"/>
      <w:r w:rsidRPr="008D431E">
        <w:rPr>
          <w:rFonts w:eastAsia="Times New Roman"/>
          <w:sz w:val="22"/>
          <w:szCs w:val="22"/>
          <w:lang w:eastAsia="en-GB"/>
        </w:rPr>
        <w:t>Take</w:t>
      </w:r>
      <w:proofErr w:type="gramEnd"/>
      <w:r w:rsidRPr="008D431E">
        <w:rPr>
          <w:rFonts w:eastAsia="Times New Roman"/>
          <w:sz w:val="22"/>
          <w:szCs w:val="22"/>
          <w:lang w:eastAsia="en-GB"/>
        </w:rPr>
        <w:t xml:space="preserve"> it’ and ’Takers’</w:t>
      </w:r>
      <w:r w:rsidR="00115255" w:rsidRPr="008D431E">
        <w:rPr>
          <w:rFonts w:eastAsia="Times New Roman"/>
          <w:sz w:val="22"/>
          <w:szCs w:val="22"/>
          <w:lang w:eastAsia="en-GB"/>
        </w:rPr>
        <w:t>,</w:t>
      </w:r>
      <w:r w:rsidRPr="008D431E">
        <w:rPr>
          <w:rFonts w:eastAsia="Times New Roman"/>
          <w:sz w:val="22"/>
          <w:szCs w:val="22"/>
          <w:lang w:eastAsia="en-GB"/>
        </w:rPr>
        <w:t xml:space="preserve"> adidas </w:t>
      </w:r>
      <w:r w:rsidR="00EC2382" w:rsidRPr="008D431E">
        <w:rPr>
          <w:rFonts w:eastAsia="Times New Roman"/>
          <w:sz w:val="22"/>
          <w:szCs w:val="22"/>
          <w:lang w:eastAsia="en-GB"/>
        </w:rPr>
        <w:t xml:space="preserve">will </w:t>
      </w:r>
      <w:r w:rsidRPr="008D431E">
        <w:rPr>
          <w:rFonts w:eastAsia="Times New Roman"/>
          <w:sz w:val="22"/>
          <w:szCs w:val="22"/>
          <w:lang w:eastAsia="en-GB"/>
        </w:rPr>
        <w:t>celebrat</w:t>
      </w:r>
      <w:r w:rsidR="00EC2382" w:rsidRPr="008D431E">
        <w:rPr>
          <w:rFonts w:eastAsia="Times New Roman"/>
          <w:sz w:val="22"/>
          <w:szCs w:val="22"/>
          <w:lang w:eastAsia="en-GB"/>
        </w:rPr>
        <w:t>e</w:t>
      </w:r>
      <w:r w:rsidRPr="008D431E">
        <w:rPr>
          <w:rFonts w:eastAsia="Times New Roman"/>
          <w:sz w:val="22"/>
          <w:szCs w:val="22"/>
          <w:lang w:eastAsia="en-GB"/>
        </w:rPr>
        <w:t xml:space="preserve"> sport with no interruptions in 2015 and beyond. </w:t>
      </w: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</w:p>
    <w:p w:rsidR="001A6B6F" w:rsidRPr="008D431E" w:rsidRDefault="00BA18EB" w:rsidP="001A6B6F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>All films are based on the insight that s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port happens in moments. </w:t>
      </w:r>
      <w:proofErr w:type="gramStart"/>
      <w:r w:rsidR="001A6B6F" w:rsidRPr="008D431E">
        <w:rPr>
          <w:rFonts w:eastAsia="Times New Roman"/>
          <w:sz w:val="22"/>
          <w:szCs w:val="22"/>
          <w:lang w:eastAsia="en-GB"/>
        </w:rPr>
        <w:t>adidas</w:t>
      </w:r>
      <w:proofErr w:type="gramEnd"/>
      <w:r w:rsidR="001A6B6F" w:rsidRPr="008D431E">
        <w:rPr>
          <w:rFonts w:eastAsia="Times New Roman"/>
          <w:sz w:val="22"/>
          <w:szCs w:val="22"/>
          <w:lang w:eastAsia="en-GB"/>
        </w:rPr>
        <w:t xml:space="preserve"> celebrates </w:t>
      </w:r>
      <w:r w:rsidRPr="008D431E">
        <w:rPr>
          <w:rFonts w:eastAsia="Times New Roman"/>
          <w:sz w:val="22"/>
          <w:szCs w:val="22"/>
          <w:lang w:eastAsia="en-GB"/>
        </w:rPr>
        <w:t xml:space="preserve">the fact that every moment in sport is a chance to redefine yourself and create something new for you or your team. In sport, no one owns today – every minute of every game is up for grabs and yours for taking. </w:t>
      </w:r>
    </w:p>
    <w:p w:rsidR="00BA18EB" w:rsidRPr="008D431E" w:rsidRDefault="00BA18EB" w:rsidP="001A6B6F">
      <w:pPr>
        <w:jc w:val="both"/>
        <w:rPr>
          <w:rFonts w:eastAsia="Times New Roman"/>
          <w:sz w:val="22"/>
          <w:szCs w:val="22"/>
          <w:lang w:eastAsia="en-GB"/>
        </w:rPr>
      </w:pP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>Starring in this first wave of Sport 15 are adidas NBA stars Dami</w:t>
      </w:r>
      <w:r w:rsidR="00115255" w:rsidRPr="008D431E">
        <w:rPr>
          <w:rFonts w:eastAsia="Times New Roman"/>
          <w:sz w:val="22"/>
          <w:szCs w:val="22"/>
          <w:lang w:eastAsia="en-GB"/>
        </w:rPr>
        <w:t>a</w:t>
      </w:r>
      <w:r w:rsidRPr="008D431E">
        <w:rPr>
          <w:rFonts w:eastAsia="Times New Roman"/>
          <w:sz w:val="22"/>
          <w:szCs w:val="22"/>
          <w:lang w:eastAsia="en-GB"/>
        </w:rPr>
        <w:t xml:space="preserve">n </w:t>
      </w:r>
      <w:proofErr w:type="spellStart"/>
      <w:r w:rsidRPr="008D431E">
        <w:rPr>
          <w:rFonts w:eastAsia="Times New Roman"/>
          <w:sz w:val="22"/>
          <w:szCs w:val="22"/>
          <w:lang w:eastAsia="en-GB"/>
        </w:rPr>
        <w:t>Lillard</w:t>
      </w:r>
      <w:proofErr w:type="spellEnd"/>
      <w:r w:rsidRPr="008D431E">
        <w:rPr>
          <w:rFonts w:eastAsia="Times New Roman"/>
          <w:sz w:val="22"/>
          <w:szCs w:val="22"/>
          <w:lang w:eastAsia="en-GB"/>
        </w:rPr>
        <w:t xml:space="preserve"> (Portland Trail Blazers), </w:t>
      </w:r>
      <w:proofErr w:type="spellStart"/>
      <w:r w:rsidRPr="008D431E">
        <w:rPr>
          <w:rFonts w:eastAsia="Times New Roman"/>
          <w:sz w:val="22"/>
          <w:szCs w:val="22"/>
          <w:lang w:eastAsia="en-GB"/>
        </w:rPr>
        <w:t>Joakim</w:t>
      </w:r>
      <w:proofErr w:type="spellEnd"/>
      <w:r w:rsidRPr="008D431E">
        <w:rPr>
          <w:rFonts w:eastAsia="Times New Roman"/>
          <w:sz w:val="22"/>
          <w:szCs w:val="22"/>
          <w:lang w:eastAsia="en-GB"/>
        </w:rPr>
        <w:t xml:space="preserve"> Noah, Derrick Rose (both Chicago Bulls), John Wall (Washington Wizards), American </w:t>
      </w:r>
      <w:r w:rsidR="00115255" w:rsidRPr="008D431E">
        <w:rPr>
          <w:rFonts w:eastAsia="Times New Roman"/>
          <w:sz w:val="22"/>
          <w:szCs w:val="22"/>
          <w:lang w:eastAsia="en-GB"/>
        </w:rPr>
        <w:t>f</w:t>
      </w:r>
      <w:r w:rsidRPr="008D431E">
        <w:rPr>
          <w:rFonts w:eastAsia="Times New Roman"/>
          <w:sz w:val="22"/>
          <w:szCs w:val="22"/>
          <w:lang w:eastAsia="en-GB"/>
        </w:rPr>
        <w:t>ootball player</w:t>
      </w:r>
      <w:r w:rsidR="008B4036" w:rsidRPr="008D431E">
        <w:rPr>
          <w:rFonts w:eastAsia="Times New Roman"/>
          <w:sz w:val="22"/>
          <w:szCs w:val="22"/>
          <w:lang w:eastAsia="en-GB"/>
        </w:rPr>
        <w:t xml:space="preserve"> D</w:t>
      </w:r>
      <w:r w:rsidRPr="008D431E">
        <w:rPr>
          <w:rFonts w:eastAsia="Times New Roman"/>
          <w:sz w:val="22"/>
          <w:szCs w:val="22"/>
          <w:lang w:eastAsia="en-GB"/>
        </w:rPr>
        <w:t xml:space="preserve">eMarco Murray (Dallas Cowboys) and adidas football icons Gareth Bale (Real Madrid), Lionel Messi (FC Barcelona), James Rodriguez (Real Madrid) and Luis Suarez (FC Barcelona). </w:t>
      </w:r>
    </w:p>
    <w:p w:rsidR="001A6B6F" w:rsidRPr="008D431E" w:rsidRDefault="001A6B6F" w:rsidP="001A6B6F">
      <w:pPr>
        <w:jc w:val="both"/>
        <w:rPr>
          <w:rFonts w:eastAsia="Times New Roman"/>
          <w:sz w:val="22"/>
          <w:szCs w:val="22"/>
          <w:lang w:eastAsia="en-GB"/>
        </w:rPr>
      </w:pPr>
    </w:p>
    <w:p w:rsidR="00D56A4B" w:rsidRPr="008D431E" w:rsidRDefault="00EC2382" w:rsidP="001A6B6F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>The films were created by long-term adidas a</w:t>
      </w:r>
      <w:r w:rsidR="001A6B6F" w:rsidRPr="008D431E">
        <w:rPr>
          <w:rFonts w:eastAsia="Times New Roman"/>
          <w:sz w:val="22"/>
          <w:szCs w:val="22"/>
          <w:lang w:eastAsia="en-GB"/>
        </w:rPr>
        <w:t>gency</w:t>
      </w:r>
      <w:r w:rsidRPr="008D431E">
        <w:rPr>
          <w:rFonts w:eastAsia="Times New Roman"/>
          <w:sz w:val="22"/>
          <w:szCs w:val="22"/>
          <w:lang w:eastAsia="en-GB"/>
        </w:rPr>
        <w:t xml:space="preserve"> partner</w:t>
      </w:r>
      <w:r w:rsidR="001A6B6F" w:rsidRPr="008D431E">
        <w:rPr>
          <w:rFonts w:eastAsia="Times New Roman"/>
          <w:sz w:val="22"/>
          <w:szCs w:val="22"/>
          <w:lang w:eastAsia="en-GB"/>
        </w:rPr>
        <w:t xml:space="preserve"> 180 Los Angeles.</w:t>
      </w:r>
    </w:p>
    <w:p w:rsidR="00A337CC" w:rsidRPr="008D431E" w:rsidRDefault="00A337CC" w:rsidP="00A337CC">
      <w:pPr>
        <w:jc w:val="both"/>
        <w:rPr>
          <w:rFonts w:eastAsia="Times New Roman"/>
          <w:sz w:val="22"/>
          <w:szCs w:val="22"/>
          <w:lang w:eastAsia="en-GB"/>
        </w:rPr>
      </w:pPr>
    </w:p>
    <w:p w:rsidR="00665CE4" w:rsidRPr="008D431E" w:rsidRDefault="00665CE4" w:rsidP="00EC2382">
      <w:pPr>
        <w:jc w:val="both"/>
        <w:rPr>
          <w:rFonts w:eastAsia="Times New Roman"/>
          <w:sz w:val="22"/>
          <w:szCs w:val="22"/>
          <w:lang w:eastAsia="en-GB"/>
        </w:rPr>
      </w:pPr>
      <w:r w:rsidRPr="008D431E">
        <w:rPr>
          <w:rFonts w:eastAsia="Times New Roman"/>
          <w:sz w:val="22"/>
          <w:szCs w:val="22"/>
          <w:lang w:eastAsia="en-GB"/>
        </w:rPr>
        <w:t xml:space="preserve">Follow youtube.com/adidas and join the conversation on </w:t>
      </w:r>
      <w:r w:rsidR="00547A45" w:rsidRPr="008D431E">
        <w:rPr>
          <w:rFonts w:eastAsia="Times New Roman"/>
          <w:sz w:val="22"/>
          <w:szCs w:val="22"/>
          <w:lang w:eastAsia="en-GB"/>
        </w:rPr>
        <w:t>T</w:t>
      </w:r>
      <w:r w:rsidRPr="008D431E">
        <w:rPr>
          <w:rFonts w:eastAsia="Times New Roman"/>
          <w:sz w:val="22"/>
          <w:szCs w:val="22"/>
          <w:lang w:eastAsia="en-GB"/>
        </w:rPr>
        <w:t>witter @adidas or on facebook.com/adidas.</w:t>
      </w:r>
    </w:p>
    <w:p w:rsidR="00665CE4" w:rsidRPr="008D431E" w:rsidRDefault="00665CE4" w:rsidP="00EC2382">
      <w:pPr>
        <w:jc w:val="both"/>
        <w:rPr>
          <w:rFonts w:eastAsia="Times New Roman"/>
          <w:sz w:val="22"/>
          <w:szCs w:val="22"/>
          <w:lang w:eastAsia="en-GB"/>
        </w:rPr>
      </w:pPr>
    </w:p>
    <w:p w:rsidR="00A028EF" w:rsidRDefault="00A028EF" w:rsidP="00EC2382">
      <w:pPr>
        <w:jc w:val="both"/>
        <w:rPr>
          <w:rFonts w:eastAsia="Times New Roman"/>
          <w:sz w:val="22"/>
          <w:szCs w:val="22"/>
          <w:lang w:eastAsia="en-GB"/>
        </w:rPr>
      </w:pPr>
      <w:bookmarkStart w:id="0" w:name="_GoBack"/>
      <w:bookmarkEnd w:id="0"/>
    </w:p>
    <w:p w:rsidR="00A028EF" w:rsidRDefault="00A028EF" w:rsidP="00EC2382">
      <w:pPr>
        <w:jc w:val="both"/>
        <w:rPr>
          <w:rFonts w:eastAsia="Times New Roman"/>
          <w:sz w:val="22"/>
          <w:szCs w:val="22"/>
          <w:lang w:eastAsia="en-GB"/>
        </w:rPr>
      </w:pPr>
    </w:p>
    <w:p w:rsidR="00A028EF" w:rsidRDefault="00A028EF" w:rsidP="00EC2382">
      <w:pPr>
        <w:jc w:val="both"/>
        <w:rPr>
          <w:rFonts w:eastAsia="Times New Roman"/>
          <w:sz w:val="22"/>
          <w:szCs w:val="22"/>
          <w:lang w:eastAsia="en-GB"/>
        </w:rPr>
      </w:pPr>
    </w:p>
    <w:p w:rsidR="00A028EF" w:rsidRDefault="00A028EF" w:rsidP="00EC2382">
      <w:pPr>
        <w:jc w:val="both"/>
        <w:rPr>
          <w:rFonts w:eastAsia="Times New Roman"/>
          <w:sz w:val="22"/>
          <w:szCs w:val="22"/>
          <w:lang w:eastAsia="en-GB"/>
        </w:rPr>
      </w:pPr>
    </w:p>
    <w:p w:rsidR="00A028EF" w:rsidRDefault="00A028EF" w:rsidP="00EC2382">
      <w:pPr>
        <w:jc w:val="both"/>
        <w:rPr>
          <w:rFonts w:eastAsia="Times New Roman"/>
          <w:sz w:val="22"/>
          <w:szCs w:val="22"/>
          <w:lang w:eastAsia="en-GB"/>
        </w:rPr>
      </w:pPr>
    </w:p>
    <w:p w:rsidR="00A028EF" w:rsidRDefault="00A028EF" w:rsidP="00EC2382">
      <w:pPr>
        <w:jc w:val="both"/>
        <w:rPr>
          <w:rFonts w:eastAsia="Times New Roman"/>
          <w:sz w:val="22"/>
          <w:szCs w:val="22"/>
          <w:lang w:eastAsia="en-GB"/>
        </w:rPr>
      </w:pPr>
    </w:p>
    <w:p w:rsidR="00A028EF" w:rsidRDefault="00A028EF" w:rsidP="00A028E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About the adidas Group</w:t>
      </w:r>
    </w:p>
    <w:p w:rsidR="00A028EF" w:rsidRDefault="00A028EF" w:rsidP="00A028EF">
      <w:pPr>
        <w:keepNext/>
        <w:jc w:val="both"/>
        <w:rPr>
          <w:lang w:val="en-GB"/>
        </w:rPr>
      </w:pPr>
      <w:r>
        <w:rPr>
          <w:lang w:val="en-GB"/>
        </w:rPr>
        <w:lastRenderedPageBreak/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>
        <w:rPr>
          <w:lang w:val="en-GB"/>
        </w:rPr>
        <w:t>TaylorMade</w:t>
      </w:r>
      <w:proofErr w:type="spellEnd"/>
      <w:r>
        <w:rPr>
          <w:lang w:val="en-GB"/>
        </w:rPr>
        <w:t xml:space="preserve"> and Reebok-CCM Hockey. Headquartered in </w:t>
      </w:r>
      <w:proofErr w:type="spellStart"/>
      <w:r>
        <w:rPr>
          <w:lang w:val="en-GB"/>
        </w:rPr>
        <w:t>Herzogenaurach</w:t>
      </w:r>
      <w:proofErr w:type="spellEnd"/>
      <w:r>
        <w:rPr>
          <w:lang w:val="en-GB"/>
        </w:rPr>
        <w:t>/Germany, the Group generated sales of € 14.5 billion in 2013 and currently employs 54,000 people across the globe, including 5,472 in Germany (as at December 31, 2014).</w:t>
      </w:r>
    </w:p>
    <w:p w:rsidR="00A028EF" w:rsidRDefault="00A028EF" w:rsidP="00A028EF">
      <w:pPr>
        <w:keepNext/>
        <w:jc w:val="both"/>
        <w:rPr>
          <w:lang w:val="en-GB"/>
        </w:rPr>
      </w:pPr>
    </w:p>
    <w:p w:rsidR="00A028EF" w:rsidRDefault="00A028EF" w:rsidP="00A028EF">
      <w:pPr>
        <w:jc w:val="center"/>
        <w:rPr>
          <w:lang w:val="en-GB"/>
        </w:rPr>
      </w:pPr>
      <w:r>
        <w:rPr>
          <w:lang w:val="en-GB"/>
        </w:rPr>
        <w:t>***</w:t>
      </w:r>
    </w:p>
    <w:p w:rsidR="00A028EF" w:rsidRDefault="00A028EF" w:rsidP="00A028E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Contacts:</w:t>
      </w:r>
    </w:p>
    <w:p w:rsidR="00A028EF" w:rsidRDefault="00A028EF" w:rsidP="00A028EF">
      <w:pPr>
        <w:jc w:val="both"/>
        <w:rPr>
          <w:b/>
          <w:bCs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3732"/>
      </w:tblGrid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Media Relations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Investor Relations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Jan Runau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Sebastian Steffen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Chief Corporate Communication Officer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Vice President Investor Relations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de-DE"/>
              </w:rPr>
              <w:t>Tel.: +49 (0) 9132 84-3830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de-DE"/>
              </w:rPr>
              <w:t>Tel.: +49 (0) 9132 84-76622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de-DE"/>
              </w:rPr>
              <w:t>Katja Schreiber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de-DE"/>
              </w:rPr>
              <w:t>Christian Stoehr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Senior Director Corporate Communication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Director Investor Relations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Tel.: +49 (0) 9132 84-3810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b/>
                <w:bCs/>
                <w:lang w:val="en-GB"/>
              </w:rPr>
            </w:pPr>
            <w:r>
              <w:rPr>
                <w:lang w:val="en-GB"/>
              </w:rPr>
              <w:t>Tel.: +49 (0) 9132 84-4989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  <w:r>
              <w:rPr>
                <w:lang w:val="en-GB"/>
              </w:rPr>
              <w:t>Yifeng Wang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  <w:r>
              <w:rPr>
                <w:lang w:val="en-GB"/>
              </w:rPr>
              <w:t>Manager Investor Relations</w:t>
            </w:r>
          </w:p>
        </w:tc>
      </w:tr>
      <w:tr w:rsidR="00A028EF" w:rsidTr="00A028E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  <w:r>
              <w:rPr>
                <w:lang w:val="en-GB"/>
              </w:rPr>
              <w:t>Tel.: +49 (0) 9132 84-3057</w:t>
            </w:r>
          </w:p>
          <w:p w:rsidR="00A028EF" w:rsidRDefault="00A028EF">
            <w:pPr>
              <w:jc w:val="both"/>
              <w:rPr>
                <w:rFonts w:eastAsiaTheme="minorHAnsi"/>
                <w:lang w:val="en-GB"/>
              </w:rPr>
            </w:pPr>
          </w:p>
        </w:tc>
      </w:tr>
    </w:tbl>
    <w:p w:rsidR="00A028EF" w:rsidRDefault="00A028EF" w:rsidP="00A028EF">
      <w:pPr>
        <w:jc w:val="both"/>
        <w:rPr>
          <w:rFonts w:eastAsiaTheme="minorHAnsi"/>
          <w:b/>
          <w:bCs/>
          <w:lang w:val="en-GB"/>
        </w:rPr>
      </w:pPr>
    </w:p>
    <w:p w:rsidR="00A028EF" w:rsidRDefault="00A028EF" w:rsidP="00A028EF">
      <w:pPr>
        <w:jc w:val="both"/>
        <w:rPr>
          <w:b/>
          <w:bCs/>
          <w:lang w:val="en-GB"/>
        </w:rPr>
      </w:pPr>
      <w:r>
        <w:rPr>
          <w:lang w:val="en-GB"/>
        </w:rPr>
        <w:t xml:space="preserve">Please visit our corporate website: </w:t>
      </w:r>
      <w:hyperlink r:id="rId7" w:history="1">
        <w:r>
          <w:rPr>
            <w:rStyle w:val="Hyperlink"/>
            <w:lang w:val="en-GB"/>
          </w:rPr>
          <w:t>www.adidas-Group.com</w:t>
        </w:r>
      </w:hyperlink>
    </w:p>
    <w:p w:rsidR="00A028EF" w:rsidRDefault="00A028EF" w:rsidP="00A028EF">
      <w:pPr>
        <w:rPr>
          <w:lang w:val="en-GB"/>
        </w:rPr>
      </w:pPr>
    </w:p>
    <w:p w:rsidR="00A028EF" w:rsidRPr="00A028EF" w:rsidRDefault="00A028EF" w:rsidP="00EC2382">
      <w:pPr>
        <w:jc w:val="both"/>
        <w:rPr>
          <w:rFonts w:eastAsia="Times New Roman"/>
          <w:sz w:val="22"/>
          <w:szCs w:val="22"/>
          <w:lang w:val="en-GB"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04"/>
      </w:tblGrid>
      <w:tr w:rsidR="00D56A4B" w:rsidRPr="008D431E" w:rsidTr="00F95D83">
        <w:trPr>
          <w:trHeight w:val="102"/>
        </w:trPr>
        <w:tc>
          <w:tcPr>
            <w:tcW w:w="4928" w:type="dxa"/>
          </w:tcPr>
          <w:p w:rsidR="00D56A4B" w:rsidRPr="008D431E" w:rsidRDefault="00D56A4B" w:rsidP="00A028EF">
            <w:pPr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8D431E" w:rsidTr="00F95D83">
        <w:trPr>
          <w:trHeight w:val="102"/>
        </w:trPr>
        <w:tc>
          <w:tcPr>
            <w:tcW w:w="4928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D56A4B" w:rsidRPr="008D431E" w:rsidRDefault="00D56A4B" w:rsidP="00F871A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6A4B" w:rsidRPr="008D431E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82"/>
      </w:tblGrid>
      <w:tr w:rsidR="00D56A4B" w:rsidRPr="008D431E" w:rsidTr="00F95D83">
        <w:trPr>
          <w:trHeight w:val="102"/>
        </w:trPr>
        <w:tc>
          <w:tcPr>
            <w:tcW w:w="4928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8D431E" w:rsidTr="00F95D83">
        <w:trPr>
          <w:trHeight w:val="102"/>
        </w:trPr>
        <w:tc>
          <w:tcPr>
            <w:tcW w:w="4928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D56A4B" w:rsidRPr="008D431E" w:rsidRDefault="00D56A4B" w:rsidP="00F871A4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8D431E" w:rsidTr="00F95D83">
        <w:trPr>
          <w:trHeight w:val="102"/>
        </w:trPr>
        <w:tc>
          <w:tcPr>
            <w:tcW w:w="4928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8D431E" w:rsidTr="00F95D83">
        <w:trPr>
          <w:trHeight w:val="102"/>
        </w:trPr>
        <w:tc>
          <w:tcPr>
            <w:tcW w:w="9010" w:type="dxa"/>
            <w:gridSpan w:val="2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8D431E" w:rsidTr="00F95D83">
        <w:trPr>
          <w:trHeight w:val="102"/>
        </w:trPr>
        <w:tc>
          <w:tcPr>
            <w:tcW w:w="9010" w:type="dxa"/>
            <w:gridSpan w:val="2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8D431E" w:rsidTr="00F95D83">
        <w:trPr>
          <w:trHeight w:val="102"/>
        </w:trPr>
        <w:tc>
          <w:tcPr>
            <w:tcW w:w="9010" w:type="dxa"/>
            <w:gridSpan w:val="2"/>
          </w:tcPr>
          <w:p w:rsidR="00D56A4B" w:rsidRPr="008D431E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6A4B" w:rsidRPr="008D431E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663D33" w:rsidRPr="008D431E" w:rsidRDefault="00663D33" w:rsidP="00D56A4B">
      <w:pPr>
        <w:rPr>
          <w:sz w:val="22"/>
          <w:szCs w:val="22"/>
        </w:rPr>
      </w:pPr>
    </w:p>
    <w:sectPr w:rsidR="00663D33" w:rsidRPr="008D431E" w:rsidSect="00D56A4B">
      <w:headerReference w:type="default" r:id="rId8"/>
      <w:headerReference w:type="first" r:id="rId9"/>
      <w:pgSz w:w="11907" w:h="16840" w:code="9"/>
      <w:pgMar w:top="2410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B8" w:rsidRDefault="00E440B8">
      <w:r>
        <w:separator/>
      </w:r>
    </w:p>
  </w:endnote>
  <w:endnote w:type="continuationSeparator" w:id="0">
    <w:p w:rsidR="00E440B8" w:rsidRDefault="00E4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B8" w:rsidRDefault="00E440B8">
      <w:r>
        <w:separator/>
      </w:r>
    </w:p>
  </w:footnote>
  <w:footnote w:type="continuationSeparator" w:id="0">
    <w:p w:rsidR="00E440B8" w:rsidRDefault="00E4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BB2EF9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1A5AEDA4" wp14:editId="2D5B6BF8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BB2EF9" w:rsidRDefault="00BB2EF9" w:rsidP="00D05A28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AE0422" w:rsidRPr="00A1408D" w:rsidTr="00BB2EF9">
      <w:tc>
        <w:tcPr>
          <w:tcW w:w="6083" w:type="dxa"/>
          <w:gridSpan w:val="2"/>
        </w:tcPr>
        <w:p w:rsidR="00AE0422" w:rsidRPr="00A1408D" w:rsidRDefault="00805FEB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2749D632" wp14:editId="56AB127B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2EF9">
            <w:rPr>
              <w:b/>
              <w:noProof/>
            </w:rPr>
            <w:t xml:space="preserve">      </w:t>
          </w:r>
          <w:r w:rsidR="00BB2EF9"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 w:rsidR="00BB2EF9"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AE0422" w:rsidRPr="00D05A28" w:rsidRDefault="00AE0422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BB2EF9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BB2EF9" w:rsidRPr="00BB2EF9" w:rsidRDefault="00BB2EF9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AE0422" w:rsidRDefault="00AE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9"/>
    <w:rsid w:val="00030A0B"/>
    <w:rsid w:val="0004438B"/>
    <w:rsid w:val="000622FD"/>
    <w:rsid w:val="000625D5"/>
    <w:rsid w:val="000C71F4"/>
    <w:rsid w:val="000E3966"/>
    <w:rsid w:val="001065BA"/>
    <w:rsid w:val="00115255"/>
    <w:rsid w:val="001160D0"/>
    <w:rsid w:val="00120883"/>
    <w:rsid w:val="0013334E"/>
    <w:rsid w:val="00135ED2"/>
    <w:rsid w:val="00161DA0"/>
    <w:rsid w:val="00190005"/>
    <w:rsid w:val="001A6B6F"/>
    <w:rsid w:val="001E02AA"/>
    <w:rsid w:val="001F7139"/>
    <w:rsid w:val="0022087E"/>
    <w:rsid w:val="00237B37"/>
    <w:rsid w:val="00242769"/>
    <w:rsid w:val="00253E62"/>
    <w:rsid w:val="00287270"/>
    <w:rsid w:val="002C314E"/>
    <w:rsid w:val="002E3FDD"/>
    <w:rsid w:val="003D1706"/>
    <w:rsid w:val="00404B64"/>
    <w:rsid w:val="00435578"/>
    <w:rsid w:val="0044358A"/>
    <w:rsid w:val="004874CE"/>
    <w:rsid w:val="004942AC"/>
    <w:rsid w:val="004F24D5"/>
    <w:rsid w:val="004F3FDD"/>
    <w:rsid w:val="00547A45"/>
    <w:rsid w:val="00571F3C"/>
    <w:rsid w:val="00575811"/>
    <w:rsid w:val="00585801"/>
    <w:rsid w:val="00591FA8"/>
    <w:rsid w:val="005E72FD"/>
    <w:rsid w:val="005F2106"/>
    <w:rsid w:val="005F45EA"/>
    <w:rsid w:val="006025B1"/>
    <w:rsid w:val="0063391B"/>
    <w:rsid w:val="00663D33"/>
    <w:rsid w:val="00665CE4"/>
    <w:rsid w:val="00674324"/>
    <w:rsid w:val="00685EB6"/>
    <w:rsid w:val="006C1948"/>
    <w:rsid w:val="006E49EB"/>
    <w:rsid w:val="006F557B"/>
    <w:rsid w:val="006F6ACE"/>
    <w:rsid w:val="00711F74"/>
    <w:rsid w:val="00787CAE"/>
    <w:rsid w:val="007F3AE0"/>
    <w:rsid w:val="00803596"/>
    <w:rsid w:val="00805FEB"/>
    <w:rsid w:val="00876945"/>
    <w:rsid w:val="0089060D"/>
    <w:rsid w:val="008928A9"/>
    <w:rsid w:val="00894496"/>
    <w:rsid w:val="008B4036"/>
    <w:rsid w:val="008D431E"/>
    <w:rsid w:val="00900D2D"/>
    <w:rsid w:val="009167AE"/>
    <w:rsid w:val="00930743"/>
    <w:rsid w:val="00932574"/>
    <w:rsid w:val="0096504A"/>
    <w:rsid w:val="00983727"/>
    <w:rsid w:val="00991143"/>
    <w:rsid w:val="00A028EF"/>
    <w:rsid w:val="00A1408D"/>
    <w:rsid w:val="00A337CC"/>
    <w:rsid w:val="00AB4E29"/>
    <w:rsid w:val="00AD3524"/>
    <w:rsid w:val="00AE0422"/>
    <w:rsid w:val="00AE0C3D"/>
    <w:rsid w:val="00BA1549"/>
    <w:rsid w:val="00BA18EB"/>
    <w:rsid w:val="00BB258D"/>
    <w:rsid w:val="00BB2EF9"/>
    <w:rsid w:val="00BE3AF2"/>
    <w:rsid w:val="00C220C7"/>
    <w:rsid w:val="00C46CA7"/>
    <w:rsid w:val="00C51FDA"/>
    <w:rsid w:val="00CE2FB2"/>
    <w:rsid w:val="00CE42D9"/>
    <w:rsid w:val="00D02DF5"/>
    <w:rsid w:val="00D05A28"/>
    <w:rsid w:val="00D51DC8"/>
    <w:rsid w:val="00D56A4B"/>
    <w:rsid w:val="00DA3DC5"/>
    <w:rsid w:val="00DC0FFE"/>
    <w:rsid w:val="00DD65D6"/>
    <w:rsid w:val="00E36FF5"/>
    <w:rsid w:val="00E440B8"/>
    <w:rsid w:val="00E55513"/>
    <w:rsid w:val="00E5620F"/>
    <w:rsid w:val="00EA6D2C"/>
    <w:rsid w:val="00EC2382"/>
    <w:rsid w:val="00ED03B1"/>
    <w:rsid w:val="00F00591"/>
    <w:rsid w:val="00F871A4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das-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0</TotalTime>
  <Pages>2</Pages>
  <Words>483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Caterina [External]</dc:creator>
  <cp:lastModifiedBy>Zellner, Julia</cp:lastModifiedBy>
  <cp:revision>2</cp:revision>
  <dcterms:created xsi:type="dcterms:W3CDTF">2015-02-13T15:35:00Z</dcterms:created>
  <dcterms:modified xsi:type="dcterms:W3CDTF">2015-02-13T15:35:00Z</dcterms:modified>
</cp:coreProperties>
</file>