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0C" w:rsidRPr="000A2397" w:rsidRDefault="00660E81" w:rsidP="000A2397">
      <w:pPr>
        <w:jc w:val="center"/>
        <w:rPr>
          <w:rFonts w:ascii="Segoe UI" w:hAnsi="Segoe UI" w:cs="Segoe UI"/>
          <w:b/>
          <w:sz w:val="22"/>
          <w:szCs w:val="22"/>
          <w:u w:val="single"/>
        </w:rPr>
      </w:pPr>
      <w:r>
        <w:rPr>
          <w:rFonts w:ascii="Segoe UI" w:hAnsi="Segoe UI"/>
          <w:b/>
          <w:sz w:val="22"/>
          <w:u w:val="single"/>
        </w:rPr>
        <w:t>Tendencias financieras detectadas y documentadas en el informe</w:t>
      </w:r>
    </w:p>
    <w:p w:rsidR="006A2DE6" w:rsidRPr="006A2DE6" w:rsidRDefault="006A2DE6" w:rsidP="006A2DE6">
      <w:pPr>
        <w:rPr>
          <w:rFonts w:ascii="Segoe UI" w:hAnsi="Segoe UI" w:cs="Segoe UI"/>
          <w:b/>
          <w:sz w:val="22"/>
          <w:szCs w:val="22"/>
        </w:rPr>
      </w:pPr>
    </w:p>
    <w:p w:rsidR="008F34A2" w:rsidRPr="00660E81" w:rsidRDefault="008F34A2" w:rsidP="004E6379">
      <w:pPr>
        <w:pStyle w:val="ListParagraph"/>
        <w:numPr>
          <w:ilvl w:val="0"/>
          <w:numId w:val="2"/>
        </w:numPr>
        <w:rPr>
          <w:rFonts w:ascii="Segoe UI" w:hAnsi="Segoe UI" w:cs="Segoe UI"/>
          <w:b/>
          <w:sz w:val="22"/>
          <w:szCs w:val="22"/>
        </w:rPr>
      </w:pPr>
      <w:r>
        <w:rPr>
          <w:rFonts w:ascii="Segoe UI" w:hAnsi="Segoe UI"/>
          <w:b/>
          <w:sz w:val="22"/>
        </w:rPr>
        <w:t xml:space="preserve">El informe </w:t>
      </w:r>
      <w:r w:rsidR="004E6379">
        <w:rPr>
          <w:rFonts w:ascii="Segoe UI" w:hAnsi="Segoe UI"/>
          <w:b/>
          <w:sz w:val="22"/>
        </w:rPr>
        <w:t xml:space="preserve">pone de manifiesto disminuciones importantes </w:t>
      </w:r>
      <w:r>
        <w:rPr>
          <w:rFonts w:ascii="Segoe UI" w:hAnsi="Segoe UI"/>
          <w:b/>
          <w:sz w:val="22"/>
        </w:rPr>
        <w:t xml:space="preserve">de las pérdidas desde la introducción del juego limpio financiero; una inversión récord de capital y en estadios por parte de los clubes; y un aumento interanual de los ingresos de los clubes. </w:t>
      </w:r>
    </w:p>
    <w:p w:rsidR="008F34A2" w:rsidRPr="008F34A2" w:rsidRDefault="008F34A2" w:rsidP="008F34A2">
      <w:pPr>
        <w:rPr>
          <w:rFonts w:ascii="Segoe UI" w:hAnsi="Segoe UI" w:cs="Segoe UI"/>
          <w:sz w:val="22"/>
          <w:szCs w:val="22"/>
        </w:rPr>
      </w:pPr>
    </w:p>
    <w:p w:rsidR="008F34A2" w:rsidRPr="008F34A2" w:rsidRDefault="008F34A2" w:rsidP="004E6379">
      <w:pPr>
        <w:pStyle w:val="ListParagraph"/>
        <w:numPr>
          <w:ilvl w:val="0"/>
          <w:numId w:val="2"/>
        </w:numPr>
        <w:rPr>
          <w:rFonts w:ascii="Segoe UI" w:hAnsi="Segoe UI" w:cs="Segoe UI"/>
          <w:sz w:val="22"/>
          <w:szCs w:val="22"/>
        </w:rPr>
      </w:pPr>
      <w:r>
        <w:rPr>
          <w:rFonts w:ascii="Segoe UI" w:hAnsi="Segoe UI"/>
          <w:sz w:val="22"/>
        </w:rPr>
        <w:t xml:space="preserve">El informe también demuestra </w:t>
      </w:r>
      <w:r w:rsidR="004E6379">
        <w:rPr>
          <w:rFonts w:ascii="Segoe UI" w:hAnsi="Segoe UI"/>
          <w:sz w:val="22"/>
        </w:rPr>
        <w:t xml:space="preserve">más allá </w:t>
      </w:r>
      <w:r>
        <w:rPr>
          <w:rFonts w:ascii="Segoe UI" w:hAnsi="Segoe UI"/>
          <w:sz w:val="22"/>
        </w:rPr>
        <w:t xml:space="preserve">de toda duda que el juego limpio financiero ha transformado las finanzas del fútbol: </w:t>
      </w:r>
      <w:r>
        <w:rPr>
          <w:rFonts w:ascii="Segoe UI" w:hAnsi="Segoe UI"/>
          <w:b/>
          <w:sz w:val="22"/>
        </w:rPr>
        <w:t>los beneficios de explotación combinados han subido hasta 1.500 millones de euros en los dos últimos años, en comparación con las pérdidas de 700 millones de euros registradas en los dos años inmediatamente anteriores a la introducción del requisito del umbral de rentabilidad.</w:t>
      </w:r>
    </w:p>
    <w:p w:rsidR="008F34A2" w:rsidRPr="008F34A2" w:rsidRDefault="008F34A2" w:rsidP="008F34A2">
      <w:pPr>
        <w:pStyle w:val="ListParagraph"/>
        <w:rPr>
          <w:rFonts w:ascii="Segoe UI" w:hAnsi="Segoe UI" w:cs="Segoe UI"/>
          <w:sz w:val="22"/>
          <w:szCs w:val="22"/>
        </w:rPr>
      </w:pPr>
    </w:p>
    <w:p w:rsidR="008F34A2" w:rsidRPr="008F34A2" w:rsidRDefault="008F34A2" w:rsidP="008F34A2">
      <w:pPr>
        <w:pStyle w:val="ListParagraph"/>
        <w:numPr>
          <w:ilvl w:val="0"/>
          <w:numId w:val="2"/>
        </w:numPr>
        <w:rPr>
          <w:rFonts w:ascii="Segoe UI" w:hAnsi="Segoe UI" w:cs="Segoe UI"/>
          <w:sz w:val="22"/>
          <w:szCs w:val="22"/>
        </w:rPr>
      </w:pPr>
      <w:r>
        <w:rPr>
          <w:rFonts w:ascii="Segoe UI" w:hAnsi="Segoe UI"/>
          <w:sz w:val="22"/>
        </w:rPr>
        <w:t xml:space="preserve">Los ingresos de los clubes de fútbol se han incrementado durante 20 años consecutivos, y actualmente alcanzan casi </w:t>
      </w:r>
      <w:r>
        <w:rPr>
          <w:rFonts w:ascii="Segoe UI" w:hAnsi="Segoe UI"/>
          <w:b/>
          <w:sz w:val="22"/>
        </w:rPr>
        <w:t>17.000 millones de euros</w:t>
      </w:r>
      <w:r>
        <w:rPr>
          <w:rFonts w:ascii="Segoe UI" w:hAnsi="Segoe UI"/>
          <w:sz w:val="22"/>
        </w:rPr>
        <w:t xml:space="preserve"> en el caso de los clubes de las máximas divisiones europeas.</w:t>
      </w:r>
      <w:r w:rsidR="004E6379">
        <w:tab/>
      </w:r>
    </w:p>
    <w:p w:rsidR="008F34A2" w:rsidRPr="008F34A2" w:rsidRDefault="008F34A2" w:rsidP="008F34A2">
      <w:pPr>
        <w:pStyle w:val="ListParagraph"/>
        <w:numPr>
          <w:ilvl w:val="1"/>
          <w:numId w:val="2"/>
        </w:numPr>
        <w:rPr>
          <w:rFonts w:ascii="Segoe UI" w:hAnsi="Segoe UI" w:cs="Segoe UI"/>
          <w:sz w:val="22"/>
          <w:szCs w:val="22"/>
        </w:rPr>
      </w:pPr>
      <w:r>
        <w:rPr>
          <w:rFonts w:ascii="Segoe UI" w:hAnsi="Segoe UI"/>
          <w:sz w:val="22"/>
        </w:rPr>
        <w:t>Actualmente, los ingresos de los clubes se han más que duplicado con respecto a 2004 y son casi seis veces superiores al nivel de 1996.</w:t>
      </w:r>
    </w:p>
    <w:p w:rsidR="008F34A2" w:rsidRPr="008F34A2" w:rsidRDefault="008F34A2" w:rsidP="008F34A2">
      <w:pPr>
        <w:pStyle w:val="ListParagraph"/>
        <w:numPr>
          <w:ilvl w:val="1"/>
          <w:numId w:val="2"/>
        </w:numPr>
        <w:rPr>
          <w:rFonts w:ascii="Segoe UI" w:hAnsi="Segoe UI" w:cs="Segoe UI"/>
          <w:sz w:val="22"/>
          <w:szCs w:val="22"/>
        </w:rPr>
      </w:pPr>
      <w:r>
        <w:rPr>
          <w:rFonts w:ascii="Segoe UI" w:hAnsi="Segoe UI"/>
          <w:sz w:val="22"/>
        </w:rPr>
        <w:t>Los ingresos de los clubes europeos han crecido cada año en las dos últimas décadas a un ritmo medio de crecimiento del 9,3%.</w:t>
      </w:r>
    </w:p>
    <w:p w:rsidR="008F34A2" w:rsidRDefault="00B610D3" w:rsidP="009C74A2">
      <w:pPr>
        <w:pStyle w:val="ListParagraph"/>
        <w:numPr>
          <w:ilvl w:val="1"/>
          <w:numId w:val="2"/>
        </w:numPr>
        <w:rPr>
          <w:rFonts w:ascii="Segoe UI" w:hAnsi="Segoe UI" w:cs="Segoe UI"/>
          <w:sz w:val="22"/>
          <w:szCs w:val="22"/>
        </w:rPr>
      </w:pPr>
      <w:r>
        <w:rPr>
          <w:rFonts w:ascii="Segoe UI" w:hAnsi="Segoe UI"/>
          <w:sz w:val="22"/>
        </w:rPr>
        <w:t>A</w:t>
      </w:r>
      <w:r w:rsidR="008F34A2">
        <w:rPr>
          <w:rFonts w:ascii="Segoe UI" w:hAnsi="Segoe UI"/>
          <w:sz w:val="22"/>
        </w:rPr>
        <w:t xml:space="preserve">lcanzar un crecimiento a largo plazo de los ingresos de este calibre y </w:t>
      </w:r>
      <w:r w:rsidR="00B93C3B">
        <w:rPr>
          <w:rFonts w:ascii="Segoe UI" w:hAnsi="Segoe UI"/>
          <w:sz w:val="22"/>
        </w:rPr>
        <w:t>con</w:t>
      </w:r>
      <w:r w:rsidR="008F34A2">
        <w:rPr>
          <w:rFonts w:ascii="Segoe UI" w:hAnsi="Segoe UI"/>
          <w:sz w:val="22"/>
        </w:rPr>
        <w:t xml:space="preserve"> esta regularidad es </w:t>
      </w:r>
      <w:r>
        <w:rPr>
          <w:rFonts w:ascii="Segoe UI" w:hAnsi="Segoe UI"/>
          <w:sz w:val="22"/>
        </w:rPr>
        <w:t xml:space="preserve">algo </w:t>
      </w:r>
      <w:r w:rsidR="008F34A2">
        <w:rPr>
          <w:rFonts w:ascii="Segoe UI" w:hAnsi="Segoe UI"/>
          <w:sz w:val="22"/>
        </w:rPr>
        <w:t>extraordinario, sobre todo por</w:t>
      </w:r>
      <w:r>
        <w:rPr>
          <w:rFonts w:ascii="Segoe UI" w:hAnsi="Segoe UI"/>
          <w:sz w:val="22"/>
        </w:rPr>
        <w:t>que</w:t>
      </w:r>
      <w:r w:rsidR="008F34A2">
        <w:rPr>
          <w:rFonts w:ascii="Segoe UI" w:hAnsi="Segoe UI"/>
          <w:sz w:val="22"/>
        </w:rPr>
        <w:t xml:space="preserve"> </w:t>
      </w:r>
      <w:r>
        <w:rPr>
          <w:rFonts w:ascii="Segoe UI" w:hAnsi="Segoe UI"/>
          <w:sz w:val="22"/>
        </w:rPr>
        <w:t xml:space="preserve">está produciéndose en </w:t>
      </w:r>
      <w:r w:rsidR="008F34A2">
        <w:rPr>
          <w:rFonts w:ascii="Segoe UI" w:hAnsi="Segoe UI"/>
          <w:sz w:val="22"/>
        </w:rPr>
        <w:t xml:space="preserve">una actividad </w:t>
      </w:r>
      <w:r>
        <w:rPr>
          <w:rFonts w:ascii="Segoe UI" w:hAnsi="Segoe UI"/>
          <w:sz w:val="22"/>
        </w:rPr>
        <w:t xml:space="preserve">ya </w:t>
      </w:r>
      <w:r w:rsidR="008F34A2">
        <w:rPr>
          <w:rFonts w:ascii="Segoe UI" w:hAnsi="Segoe UI"/>
          <w:sz w:val="22"/>
        </w:rPr>
        <w:t xml:space="preserve">madura, dado que muchas ligas tienen más de un siglo de antigüedad. </w:t>
      </w:r>
      <w:r w:rsidR="009C74A2">
        <w:rPr>
          <w:rFonts w:ascii="Segoe UI" w:hAnsi="Segoe UI"/>
          <w:sz w:val="22"/>
        </w:rPr>
        <w:t>Se trata de</w:t>
      </w:r>
      <w:r w:rsidR="008F34A2">
        <w:rPr>
          <w:rFonts w:ascii="Segoe UI" w:hAnsi="Segoe UI"/>
          <w:sz w:val="22"/>
        </w:rPr>
        <w:t xml:space="preserve"> una prueba de la salud del fútbol europeo y del creciente interés que suscita.</w:t>
      </w:r>
    </w:p>
    <w:p w:rsidR="00660E81" w:rsidRPr="00DA34B2" w:rsidRDefault="00660E81" w:rsidP="00DA34B2">
      <w:pPr>
        <w:rPr>
          <w:rFonts w:ascii="Segoe UI" w:hAnsi="Segoe UI" w:cs="Segoe UI"/>
          <w:sz w:val="22"/>
          <w:szCs w:val="22"/>
        </w:rPr>
      </w:pPr>
    </w:p>
    <w:p w:rsidR="00660E81" w:rsidRDefault="00660E81" w:rsidP="009C74A2">
      <w:pPr>
        <w:pStyle w:val="ListParagraph"/>
        <w:numPr>
          <w:ilvl w:val="0"/>
          <w:numId w:val="2"/>
        </w:numPr>
        <w:rPr>
          <w:rFonts w:ascii="Segoe UI" w:hAnsi="Segoe UI" w:cs="Segoe UI"/>
          <w:sz w:val="22"/>
          <w:szCs w:val="22"/>
        </w:rPr>
      </w:pPr>
      <w:r>
        <w:rPr>
          <w:rFonts w:ascii="Segoe UI" w:hAnsi="Segoe UI"/>
          <w:sz w:val="22"/>
        </w:rPr>
        <w:t xml:space="preserve">Desde la introducción del </w:t>
      </w:r>
      <w:r w:rsidR="00B93C3B">
        <w:rPr>
          <w:rFonts w:ascii="Segoe UI" w:hAnsi="Segoe UI"/>
          <w:sz w:val="22"/>
        </w:rPr>
        <w:t>juego limpio financiero</w:t>
      </w:r>
      <w:r>
        <w:rPr>
          <w:rFonts w:ascii="Segoe UI" w:hAnsi="Segoe UI"/>
          <w:sz w:val="22"/>
        </w:rPr>
        <w:t xml:space="preserve"> se ha producido una disminución notable en Europa de </w:t>
      </w:r>
      <w:r w:rsidR="009C74A2">
        <w:rPr>
          <w:rFonts w:ascii="Segoe UI" w:hAnsi="Segoe UI"/>
          <w:sz w:val="22"/>
        </w:rPr>
        <w:t>los</w:t>
      </w:r>
      <w:r>
        <w:rPr>
          <w:rFonts w:ascii="Segoe UI" w:hAnsi="Segoe UI"/>
          <w:sz w:val="22"/>
        </w:rPr>
        <w:t xml:space="preserve"> clubes </w:t>
      </w:r>
      <w:r w:rsidR="009C74A2">
        <w:rPr>
          <w:rFonts w:ascii="Segoe UI" w:hAnsi="Segoe UI"/>
          <w:sz w:val="22"/>
        </w:rPr>
        <w:t xml:space="preserve">que registran </w:t>
      </w:r>
      <w:r>
        <w:rPr>
          <w:rFonts w:ascii="Segoe UI" w:hAnsi="Segoe UI"/>
          <w:sz w:val="22"/>
        </w:rPr>
        <w:t xml:space="preserve">pérdidas, sobre todo de los casos más extraordinarios, pues </w:t>
      </w:r>
      <w:r>
        <w:rPr>
          <w:rFonts w:ascii="Segoe UI" w:hAnsi="Segoe UI"/>
          <w:b/>
          <w:sz w:val="22"/>
        </w:rPr>
        <w:t xml:space="preserve">la cifra de clubes con pérdidas superiores a los 45 millones de euros </w:t>
      </w:r>
      <w:r w:rsidR="009C74A2">
        <w:rPr>
          <w:rFonts w:ascii="Segoe UI" w:hAnsi="Segoe UI"/>
          <w:b/>
          <w:sz w:val="22"/>
        </w:rPr>
        <w:t xml:space="preserve">en un solo año </w:t>
      </w:r>
      <w:r>
        <w:rPr>
          <w:rFonts w:ascii="Segoe UI" w:hAnsi="Segoe UI"/>
          <w:b/>
          <w:sz w:val="22"/>
        </w:rPr>
        <w:t>ha caído de 11 en el ejercicio de 2011 a cuatro en el ejercicio</w:t>
      </w:r>
      <w:r w:rsidR="00F60961">
        <w:rPr>
          <w:rFonts w:ascii="Segoe UI" w:hAnsi="Segoe UI"/>
          <w:b/>
          <w:sz w:val="22"/>
        </w:rPr>
        <w:t xml:space="preserve"> de</w:t>
      </w:r>
      <w:r>
        <w:rPr>
          <w:rFonts w:ascii="Segoe UI" w:hAnsi="Segoe UI"/>
          <w:b/>
          <w:sz w:val="22"/>
        </w:rPr>
        <w:t xml:space="preserve"> 2015.</w:t>
      </w:r>
    </w:p>
    <w:p w:rsidR="00DA34B2" w:rsidRPr="00DA34B2" w:rsidRDefault="00DA34B2" w:rsidP="00DA34B2">
      <w:pPr>
        <w:rPr>
          <w:rFonts w:ascii="Segoe UI" w:hAnsi="Segoe UI" w:cs="Segoe UI"/>
          <w:sz w:val="22"/>
          <w:szCs w:val="22"/>
        </w:rPr>
      </w:pPr>
    </w:p>
    <w:p w:rsidR="00DA34B2" w:rsidRDefault="00DA34B2" w:rsidP="00DA34B2">
      <w:pPr>
        <w:pStyle w:val="ListParagraph"/>
        <w:numPr>
          <w:ilvl w:val="0"/>
          <w:numId w:val="2"/>
        </w:numPr>
        <w:rPr>
          <w:rFonts w:ascii="Segoe UI" w:hAnsi="Segoe UI" w:cs="Segoe UI"/>
          <w:sz w:val="22"/>
          <w:szCs w:val="22"/>
        </w:rPr>
      </w:pPr>
      <w:r>
        <w:rPr>
          <w:rFonts w:ascii="Segoe UI" w:hAnsi="Segoe UI"/>
          <w:sz w:val="22"/>
        </w:rPr>
        <w:t xml:space="preserve">En general, la sostenibilidad financiera caracteriza cada vez más el funcionamiento de los clubes europeos, cuyas pérdidas </w:t>
      </w:r>
      <w:r w:rsidR="009E19BA">
        <w:rPr>
          <w:rFonts w:ascii="Segoe UI" w:hAnsi="Segoe UI"/>
          <w:sz w:val="22"/>
        </w:rPr>
        <w:t>combinadas</w:t>
      </w:r>
      <w:r>
        <w:rPr>
          <w:rFonts w:ascii="Segoe UI" w:hAnsi="Segoe UI"/>
          <w:sz w:val="22"/>
        </w:rPr>
        <w:t xml:space="preserve"> se han reducido en un 81% </w:t>
      </w:r>
      <w:r w:rsidR="00F60961">
        <w:rPr>
          <w:rFonts w:ascii="Segoe UI" w:hAnsi="Segoe UI"/>
          <w:sz w:val="22"/>
        </w:rPr>
        <w:t>a partir de</w:t>
      </w:r>
      <w:r>
        <w:rPr>
          <w:rFonts w:ascii="Segoe UI" w:hAnsi="Segoe UI"/>
          <w:sz w:val="22"/>
        </w:rPr>
        <w:t xml:space="preserve"> la plena introducción del </w:t>
      </w:r>
      <w:r w:rsidR="00B93C3B">
        <w:rPr>
          <w:rFonts w:ascii="Segoe UI" w:hAnsi="Segoe UI"/>
          <w:sz w:val="22"/>
        </w:rPr>
        <w:t>juego limpio financiero</w:t>
      </w:r>
      <w:r>
        <w:rPr>
          <w:rFonts w:ascii="Segoe UI" w:hAnsi="Segoe UI"/>
          <w:sz w:val="22"/>
        </w:rPr>
        <w:t>, desde los 1.700 millones de euros registrados en 2011 hasta ligeramente por encima de los 300 millones de euros en 2015.</w:t>
      </w:r>
    </w:p>
    <w:p w:rsidR="00E9728E" w:rsidRDefault="00E9728E" w:rsidP="00E9728E">
      <w:pPr>
        <w:pStyle w:val="ListParagraph"/>
        <w:rPr>
          <w:rFonts w:ascii="Segoe UI" w:hAnsi="Segoe UI" w:cs="Segoe UI"/>
          <w:sz w:val="22"/>
          <w:szCs w:val="22"/>
        </w:rPr>
      </w:pPr>
    </w:p>
    <w:p w:rsidR="00E9728E" w:rsidRDefault="00E9728E" w:rsidP="009C74A2">
      <w:pPr>
        <w:pStyle w:val="ListParagraph"/>
        <w:numPr>
          <w:ilvl w:val="0"/>
          <w:numId w:val="2"/>
        </w:numPr>
        <w:rPr>
          <w:rFonts w:ascii="Segoe UI" w:hAnsi="Segoe UI" w:cs="Segoe UI"/>
          <w:sz w:val="22"/>
          <w:szCs w:val="22"/>
        </w:rPr>
      </w:pPr>
      <w:r>
        <w:rPr>
          <w:rFonts w:ascii="Segoe UI" w:hAnsi="Segoe UI"/>
          <w:sz w:val="22"/>
        </w:rPr>
        <w:t xml:space="preserve">Las finanzas del fútbol de clubes europeo son actualmente más sólidas: la deuda neta como </w:t>
      </w:r>
      <w:r w:rsidR="009C74A2">
        <w:rPr>
          <w:rFonts w:ascii="Segoe UI" w:hAnsi="Segoe UI"/>
          <w:sz w:val="22"/>
        </w:rPr>
        <w:t>porcentaje</w:t>
      </w:r>
      <w:r>
        <w:rPr>
          <w:rFonts w:ascii="Segoe UI" w:hAnsi="Segoe UI"/>
          <w:sz w:val="22"/>
        </w:rPr>
        <w:t xml:space="preserve"> de los ingresos ha caído del 65% en 2009 al 40% en 2015.</w:t>
      </w:r>
    </w:p>
    <w:p w:rsidR="00E9728E" w:rsidRPr="00E9728E" w:rsidRDefault="00E9728E" w:rsidP="00E9728E">
      <w:pPr>
        <w:pStyle w:val="ListParagraph"/>
        <w:rPr>
          <w:rFonts w:ascii="Segoe UI" w:hAnsi="Segoe UI" w:cs="Segoe UI"/>
          <w:sz w:val="22"/>
          <w:szCs w:val="22"/>
        </w:rPr>
      </w:pPr>
    </w:p>
    <w:p w:rsidR="003837FD" w:rsidRPr="003837FD" w:rsidRDefault="00E9728E" w:rsidP="007558DB">
      <w:pPr>
        <w:pStyle w:val="ListParagraph"/>
        <w:numPr>
          <w:ilvl w:val="0"/>
          <w:numId w:val="2"/>
        </w:numPr>
        <w:rPr>
          <w:rFonts w:ascii="Segoe UI" w:hAnsi="Segoe UI" w:cs="Segoe UI"/>
          <w:sz w:val="22"/>
          <w:szCs w:val="22"/>
        </w:rPr>
      </w:pPr>
      <w:r>
        <w:rPr>
          <w:rFonts w:ascii="Segoe UI" w:hAnsi="Segoe UI"/>
          <w:sz w:val="22"/>
        </w:rPr>
        <w:t xml:space="preserve">El fútbol de clubes europeo disfruta de un volumen de inversión sin precedentes: </w:t>
      </w:r>
      <w:r>
        <w:rPr>
          <w:rFonts w:ascii="Segoe UI" w:hAnsi="Segoe UI"/>
          <w:b/>
          <w:sz w:val="22"/>
        </w:rPr>
        <w:t>58 estadios nuevos de clubes</w:t>
      </w:r>
      <w:r w:rsidR="009E19BA">
        <w:rPr>
          <w:rFonts w:ascii="Segoe UI" w:hAnsi="Segoe UI"/>
          <w:b/>
          <w:sz w:val="22"/>
        </w:rPr>
        <w:t xml:space="preserve"> se han </w:t>
      </w:r>
      <w:r w:rsidR="007558DB">
        <w:rPr>
          <w:rFonts w:ascii="Segoe UI" w:hAnsi="Segoe UI"/>
          <w:b/>
          <w:sz w:val="22"/>
        </w:rPr>
        <w:t>construido</w:t>
      </w:r>
      <w:r>
        <w:rPr>
          <w:rFonts w:ascii="Segoe UI" w:hAnsi="Segoe UI"/>
          <w:b/>
          <w:sz w:val="22"/>
        </w:rPr>
        <w:t xml:space="preserve"> entre 2014-2017, en comparación con los 23 en el ciclo </w:t>
      </w:r>
      <w:r w:rsidR="00A72FCA">
        <w:rPr>
          <w:rFonts w:ascii="Segoe UI" w:hAnsi="Segoe UI"/>
          <w:b/>
          <w:sz w:val="22"/>
        </w:rPr>
        <w:t xml:space="preserve">anterior </w:t>
      </w:r>
      <w:r>
        <w:rPr>
          <w:rFonts w:ascii="Segoe UI" w:hAnsi="Segoe UI"/>
          <w:b/>
          <w:sz w:val="22"/>
        </w:rPr>
        <w:t>de cuatro años</w:t>
      </w:r>
      <w:r>
        <w:rPr>
          <w:rFonts w:ascii="Segoe UI" w:hAnsi="Segoe UI"/>
          <w:sz w:val="22"/>
        </w:rPr>
        <w:t>.</w:t>
      </w:r>
    </w:p>
    <w:p w:rsidR="003837FD" w:rsidRDefault="003837FD" w:rsidP="003837FD">
      <w:pPr>
        <w:pStyle w:val="ListParagraph"/>
        <w:numPr>
          <w:ilvl w:val="1"/>
          <w:numId w:val="2"/>
        </w:numPr>
        <w:rPr>
          <w:rFonts w:ascii="Segoe UI" w:hAnsi="Segoe UI" w:cs="Segoe UI"/>
          <w:sz w:val="22"/>
          <w:szCs w:val="22"/>
        </w:rPr>
      </w:pPr>
      <w:r>
        <w:rPr>
          <w:rFonts w:ascii="Segoe UI" w:hAnsi="Segoe UI"/>
          <w:b/>
          <w:sz w:val="22"/>
        </w:rPr>
        <w:t>Los clubes invirtieron 996 millones de euros en nuevos inmovilizados materiales en 2015</w:t>
      </w:r>
      <w:r w:rsidRPr="005F200E">
        <w:rPr>
          <w:rFonts w:ascii="Segoe UI" w:hAnsi="Segoe UI"/>
          <w:bCs/>
          <w:sz w:val="22"/>
        </w:rPr>
        <w:t>,</w:t>
      </w:r>
      <w:r>
        <w:rPr>
          <w:rFonts w:ascii="Segoe UI" w:hAnsi="Segoe UI"/>
          <w:sz w:val="22"/>
        </w:rPr>
        <w:t xml:space="preserve"> principalmente en estadios e instalaciones y complejos de entrenamiento, una cifra muy superior a los 670 millones invertidos el año anterior. Este dato contribuyó al crecimiento más rápido (7%) del valor del inmovilizado material en los balances de situación desde que empezaron los registros detallados.</w:t>
      </w:r>
    </w:p>
    <w:p w:rsidR="003837FD" w:rsidRDefault="003837FD" w:rsidP="003837FD">
      <w:pPr>
        <w:pStyle w:val="ListParagraph"/>
        <w:numPr>
          <w:ilvl w:val="1"/>
          <w:numId w:val="2"/>
        </w:numPr>
        <w:rPr>
          <w:rFonts w:ascii="Segoe UI" w:hAnsi="Segoe UI" w:cs="Segoe UI"/>
          <w:sz w:val="22"/>
          <w:szCs w:val="22"/>
        </w:rPr>
      </w:pPr>
      <w:r>
        <w:rPr>
          <w:rFonts w:ascii="Segoe UI" w:hAnsi="Segoe UI"/>
          <w:b/>
          <w:sz w:val="22"/>
        </w:rPr>
        <w:lastRenderedPageBreak/>
        <w:t xml:space="preserve">Desde la introducción de los requisitos del umbral de rentabilidad en el </w:t>
      </w:r>
      <w:r w:rsidR="00B93C3B">
        <w:rPr>
          <w:rFonts w:ascii="Segoe UI" w:hAnsi="Segoe UI"/>
          <w:b/>
          <w:sz w:val="22"/>
        </w:rPr>
        <w:t>juego limpio financiero</w:t>
      </w:r>
      <w:r>
        <w:rPr>
          <w:rFonts w:ascii="Segoe UI" w:hAnsi="Segoe UI"/>
          <w:b/>
          <w:sz w:val="22"/>
        </w:rPr>
        <w:t xml:space="preserve"> (2011-2015), se han añadido 1.300 millones de euros al valor del inmovilizado material en los balances de situación</w:t>
      </w:r>
      <w:r>
        <w:rPr>
          <w:rFonts w:ascii="Segoe UI" w:hAnsi="Segoe UI"/>
          <w:sz w:val="22"/>
        </w:rPr>
        <w:t>, principalmente estadios, instalaciones de entrenamiento y otras infraestructuras.</w:t>
      </w:r>
    </w:p>
    <w:p w:rsidR="00660E81" w:rsidRPr="00660E81" w:rsidRDefault="00660E81" w:rsidP="00660E81">
      <w:pPr>
        <w:ind w:left="360"/>
        <w:rPr>
          <w:rFonts w:ascii="Segoe UI" w:hAnsi="Segoe UI" w:cs="Segoe UI"/>
          <w:sz w:val="22"/>
          <w:szCs w:val="22"/>
        </w:rPr>
      </w:pPr>
    </w:p>
    <w:p w:rsidR="008F34A2" w:rsidRPr="00660E81" w:rsidRDefault="00F666A2" w:rsidP="00EA300C">
      <w:pPr>
        <w:pStyle w:val="ListParagraph"/>
        <w:numPr>
          <w:ilvl w:val="0"/>
          <w:numId w:val="2"/>
        </w:numPr>
        <w:rPr>
          <w:rFonts w:ascii="Segoe UI" w:hAnsi="Segoe UI" w:cs="Segoe UI"/>
          <w:sz w:val="22"/>
          <w:szCs w:val="22"/>
        </w:rPr>
      </w:pPr>
      <w:r>
        <w:rPr>
          <w:rFonts w:ascii="Segoe UI" w:hAnsi="Segoe UI"/>
          <w:sz w:val="22"/>
        </w:rPr>
        <w:t>Las "cuatro grandes" ligas (Alemania,</w:t>
      </w:r>
      <w:r w:rsidR="00C825DD">
        <w:rPr>
          <w:rFonts w:ascii="Segoe UI" w:hAnsi="Segoe UI"/>
          <w:sz w:val="22"/>
        </w:rPr>
        <w:t xml:space="preserve"> España,</w:t>
      </w:r>
      <w:r>
        <w:rPr>
          <w:rFonts w:ascii="Segoe UI" w:hAnsi="Segoe UI"/>
          <w:sz w:val="22"/>
        </w:rPr>
        <w:t xml:space="preserve"> Inglaterra</w:t>
      </w:r>
      <w:r w:rsidR="00C825DD">
        <w:rPr>
          <w:rFonts w:ascii="Segoe UI" w:hAnsi="Segoe UI"/>
          <w:sz w:val="22"/>
        </w:rPr>
        <w:t xml:space="preserve"> e</w:t>
      </w:r>
      <w:r>
        <w:rPr>
          <w:rFonts w:ascii="Segoe UI" w:hAnsi="Segoe UI"/>
          <w:sz w:val="22"/>
        </w:rPr>
        <w:t xml:space="preserve"> Italia) han sido responsables del 81% del gasto global en fichajes en las máximas divisiones en el ejercicio 2015, un incremento notable en la concentración del gasto en traspasos comparado con el 72% </w:t>
      </w:r>
      <w:r w:rsidR="00EA300C">
        <w:rPr>
          <w:rFonts w:ascii="Segoe UI" w:hAnsi="Segoe UI"/>
          <w:sz w:val="22"/>
        </w:rPr>
        <w:t xml:space="preserve">registrado en el </w:t>
      </w:r>
      <w:r>
        <w:rPr>
          <w:rFonts w:ascii="Segoe UI" w:hAnsi="Segoe UI"/>
          <w:sz w:val="22"/>
        </w:rPr>
        <w:t>ejercicio 2014.</w:t>
      </w:r>
    </w:p>
    <w:p w:rsidR="00660E81" w:rsidRPr="00660E81" w:rsidRDefault="00660E81" w:rsidP="00660E81">
      <w:pPr>
        <w:pStyle w:val="ListParagraph"/>
        <w:rPr>
          <w:rFonts w:ascii="Segoe UI" w:hAnsi="Segoe UI" w:cs="Segoe UI"/>
          <w:b/>
          <w:sz w:val="22"/>
          <w:szCs w:val="22"/>
        </w:rPr>
      </w:pPr>
    </w:p>
    <w:p w:rsidR="00660E81" w:rsidRDefault="00660E81" w:rsidP="00EC5305">
      <w:pPr>
        <w:pStyle w:val="ListParagraph"/>
        <w:numPr>
          <w:ilvl w:val="0"/>
          <w:numId w:val="1"/>
        </w:numPr>
        <w:rPr>
          <w:rFonts w:ascii="Segoe UI" w:hAnsi="Segoe UI" w:cs="Segoe UI"/>
          <w:b/>
          <w:sz w:val="22"/>
          <w:szCs w:val="22"/>
        </w:rPr>
      </w:pPr>
      <w:r>
        <w:rPr>
          <w:rFonts w:ascii="Segoe UI" w:hAnsi="Segoe UI"/>
          <w:b/>
          <w:sz w:val="22"/>
        </w:rPr>
        <w:t xml:space="preserve">Los 20 clubes de la máxima división inglesa volvieron a registrar </w:t>
      </w:r>
      <w:r w:rsidR="00EC5305">
        <w:rPr>
          <w:rFonts w:ascii="Segoe UI" w:hAnsi="Segoe UI"/>
          <w:b/>
          <w:sz w:val="22"/>
        </w:rPr>
        <w:t>en conjunto</w:t>
      </w:r>
      <w:r>
        <w:rPr>
          <w:rFonts w:ascii="Segoe UI" w:hAnsi="Segoe UI"/>
          <w:b/>
          <w:sz w:val="22"/>
        </w:rPr>
        <w:t xml:space="preserve"> más ingresos que el </w:t>
      </w:r>
      <w:r w:rsidR="00EC5305">
        <w:rPr>
          <w:rFonts w:ascii="Segoe UI" w:hAnsi="Segoe UI"/>
          <w:b/>
          <w:sz w:val="22"/>
        </w:rPr>
        <w:t xml:space="preserve">total </w:t>
      </w:r>
      <w:r>
        <w:rPr>
          <w:rFonts w:ascii="Segoe UI" w:hAnsi="Segoe UI"/>
          <w:b/>
          <w:sz w:val="22"/>
        </w:rPr>
        <w:t>de los 597 clubes de las 48 federaciones más pequeñas de la UEFA.</w:t>
      </w:r>
    </w:p>
    <w:p w:rsidR="00660E81" w:rsidRPr="00660E81" w:rsidRDefault="00660E81" w:rsidP="00660E81">
      <w:pPr>
        <w:ind w:left="360"/>
        <w:rPr>
          <w:rFonts w:ascii="Segoe UI" w:hAnsi="Segoe UI" w:cs="Segoe UI"/>
          <w:b/>
          <w:sz w:val="22"/>
          <w:szCs w:val="22"/>
        </w:rPr>
      </w:pPr>
    </w:p>
    <w:p w:rsidR="00660E81" w:rsidRPr="00660E81" w:rsidRDefault="00660E81" w:rsidP="00660E81">
      <w:pPr>
        <w:pStyle w:val="ListParagraph"/>
        <w:numPr>
          <w:ilvl w:val="0"/>
          <w:numId w:val="1"/>
        </w:numPr>
        <w:rPr>
          <w:rFonts w:ascii="Segoe UI" w:hAnsi="Segoe UI" w:cs="Segoe UI"/>
          <w:b/>
          <w:sz w:val="22"/>
          <w:szCs w:val="22"/>
        </w:rPr>
      </w:pPr>
      <w:r>
        <w:rPr>
          <w:rFonts w:ascii="Segoe UI" w:hAnsi="Segoe UI"/>
          <w:sz w:val="22"/>
        </w:rPr>
        <w:t>Si bien los ingresos siguen creciendo hasta niveles de récord, se está produciendo un aumento de la desigualdad, alimentado por el crecimiento continuo de los llamados "súper clubes" con más tirón en todo el mundo.</w:t>
      </w:r>
    </w:p>
    <w:p w:rsidR="00660E81" w:rsidRPr="00F666A2" w:rsidRDefault="00660E81" w:rsidP="00660E81">
      <w:pPr>
        <w:pStyle w:val="ListParagraph"/>
        <w:rPr>
          <w:rFonts w:ascii="Segoe UI" w:hAnsi="Segoe UI" w:cs="Segoe UI"/>
          <w:b/>
          <w:sz w:val="22"/>
          <w:szCs w:val="22"/>
        </w:rPr>
      </w:pPr>
    </w:p>
    <w:p w:rsidR="00F666A2" w:rsidRDefault="00F666A2" w:rsidP="00233CC0">
      <w:pPr>
        <w:pStyle w:val="ListParagraph"/>
        <w:numPr>
          <w:ilvl w:val="0"/>
          <w:numId w:val="1"/>
        </w:numPr>
        <w:ind w:left="714" w:hanging="357"/>
        <w:rPr>
          <w:rFonts w:ascii="Segoe UI" w:hAnsi="Segoe UI" w:cs="Segoe UI"/>
          <w:b/>
          <w:sz w:val="22"/>
          <w:szCs w:val="22"/>
        </w:rPr>
      </w:pPr>
      <w:r>
        <w:rPr>
          <w:rFonts w:ascii="Segoe UI" w:hAnsi="Segoe UI"/>
          <w:b/>
          <w:sz w:val="22"/>
        </w:rPr>
        <w:t xml:space="preserve">Los </w:t>
      </w:r>
      <w:r w:rsidR="00F60961">
        <w:rPr>
          <w:rFonts w:ascii="Segoe UI" w:hAnsi="Segoe UI"/>
          <w:b/>
          <w:sz w:val="22"/>
        </w:rPr>
        <w:t xml:space="preserve">15 </w:t>
      </w:r>
      <w:r>
        <w:rPr>
          <w:rFonts w:ascii="Segoe UI" w:hAnsi="Segoe UI"/>
          <w:b/>
          <w:sz w:val="22"/>
        </w:rPr>
        <w:t>principales clubes europeos han añadido 1</w:t>
      </w:r>
      <w:r w:rsidR="007558DB">
        <w:rPr>
          <w:rFonts w:ascii="Segoe UI" w:hAnsi="Segoe UI"/>
          <w:b/>
          <w:sz w:val="22"/>
        </w:rPr>
        <w:t>.</w:t>
      </w:r>
      <w:r>
        <w:rPr>
          <w:rFonts w:ascii="Segoe UI" w:hAnsi="Segoe UI"/>
          <w:b/>
          <w:sz w:val="22"/>
        </w:rPr>
        <w:t xml:space="preserve">514 millones de euros en ingresos comerciales en los últimos seis años (un incremento del 148%), contra los 453 millones de euros añadidos por el resto de los </w:t>
      </w:r>
      <w:r w:rsidR="00233CC0">
        <w:rPr>
          <w:rFonts w:ascii="Segoe UI" w:hAnsi="Segoe UI"/>
          <w:b/>
          <w:sz w:val="22"/>
        </w:rPr>
        <w:t xml:space="preserve">aproximadamente </w:t>
      </w:r>
      <w:r>
        <w:rPr>
          <w:rFonts w:ascii="Segoe UI" w:hAnsi="Segoe UI"/>
          <w:b/>
          <w:sz w:val="22"/>
        </w:rPr>
        <w:t xml:space="preserve">700 clubes </w:t>
      </w:r>
      <w:r w:rsidR="00233CC0">
        <w:rPr>
          <w:rFonts w:ascii="Segoe UI" w:hAnsi="Segoe UI"/>
          <w:b/>
          <w:sz w:val="22"/>
        </w:rPr>
        <w:t>de l</w:t>
      </w:r>
      <w:r>
        <w:rPr>
          <w:rFonts w:ascii="Segoe UI" w:hAnsi="Segoe UI"/>
          <w:b/>
          <w:sz w:val="22"/>
        </w:rPr>
        <w:t>as máximas divisiones de Europa (un aumento del 17%).</w:t>
      </w:r>
    </w:p>
    <w:p w:rsidR="00F67536" w:rsidRDefault="00F666A2" w:rsidP="00F67536">
      <w:pPr>
        <w:pStyle w:val="ListParagraph"/>
        <w:numPr>
          <w:ilvl w:val="1"/>
          <w:numId w:val="1"/>
        </w:numPr>
        <w:rPr>
          <w:rFonts w:ascii="Segoe UI" w:hAnsi="Segoe UI" w:cs="Segoe UI"/>
          <w:sz w:val="22"/>
          <w:szCs w:val="22"/>
        </w:rPr>
      </w:pPr>
      <w:r>
        <w:rPr>
          <w:rFonts w:ascii="Segoe UI" w:hAnsi="Segoe UI"/>
          <w:sz w:val="22"/>
        </w:rPr>
        <w:t>En cambio, el crecimiento de los ingres</w:t>
      </w:r>
      <w:r w:rsidR="00F60961">
        <w:rPr>
          <w:rFonts w:ascii="Segoe UI" w:hAnsi="Segoe UI"/>
          <w:sz w:val="22"/>
        </w:rPr>
        <w:t>o</w:t>
      </w:r>
      <w:r>
        <w:rPr>
          <w:rFonts w:ascii="Segoe UI" w:hAnsi="Segoe UI"/>
          <w:sz w:val="22"/>
        </w:rPr>
        <w:t>s procedentes de las demás fuentes, incluidos los derechos televisivos, los premios monetarios de la UEFA, los ingresos de taquilla y demás ingresos, han crecido a un ritmo similar en estos 15 clubes (un incremento del 45%) que en los otros 700 clubes que más o menos posee Europa (un incremento del 37%).</w:t>
      </w:r>
    </w:p>
    <w:p w:rsidR="00F67536" w:rsidRDefault="00F67536" w:rsidP="00233CC0">
      <w:pPr>
        <w:pStyle w:val="ListParagraph"/>
        <w:numPr>
          <w:ilvl w:val="1"/>
          <w:numId w:val="1"/>
        </w:numPr>
        <w:rPr>
          <w:rFonts w:ascii="Segoe UI" w:hAnsi="Segoe UI" w:cs="Segoe UI"/>
          <w:sz w:val="22"/>
          <w:szCs w:val="22"/>
        </w:rPr>
      </w:pPr>
      <w:r>
        <w:rPr>
          <w:rFonts w:ascii="Segoe UI" w:hAnsi="Segoe UI"/>
          <w:sz w:val="22"/>
        </w:rPr>
        <w:t xml:space="preserve">En el caso de los 9 clubes principales, los ingresos por razones comerciales y patrocinio </w:t>
      </w:r>
      <w:r w:rsidR="00233CC0">
        <w:rPr>
          <w:rFonts w:ascii="Segoe UI" w:hAnsi="Segoe UI"/>
          <w:sz w:val="22"/>
        </w:rPr>
        <w:t xml:space="preserve">son muy superiores a los procedentes de la </w:t>
      </w:r>
      <w:r>
        <w:rPr>
          <w:rFonts w:ascii="Segoe UI" w:hAnsi="Segoe UI"/>
          <w:sz w:val="22"/>
        </w:rPr>
        <w:t>televisión (</w:t>
      </w:r>
      <w:r w:rsidR="00F60961">
        <w:rPr>
          <w:rFonts w:ascii="Segoe UI" w:hAnsi="Segoe UI"/>
          <w:sz w:val="22"/>
        </w:rPr>
        <w:t>un 60% más</w:t>
      </w:r>
      <w:r>
        <w:rPr>
          <w:rFonts w:ascii="Segoe UI" w:hAnsi="Segoe UI"/>
          <w:sz w:val="22"/>
        </w:rPr>
        <w:t xml:space="preserve">). En el resto de los 30 clubes principales, </w:t>
      </w:r>
      <w:r w:rsidR="00233CC0">
        <w:rPr>
          <w:rFonts w:ascii="Segoe UI" w:hAnsi="Segoe UI"/>
          <w:sz w:val="22"/>
        </w:rPr>
        <w:t>los ingresos comerciales y de patrocinio se encuentran muy por debajo de los procedentes de la televisión</w:t>
      </w:r>
      <w:r>
        <w:rPr>
          <w:rFonts w:ascii="Segoe UI" w:hAnsi="Segoe UI"/>
          <w:sz w:val="22"/>
        </w:rPr>
        <w:t xml:space="preserve"> (</w:t>
      </w:r>
      <w:r w:rsidR="00F60961">
        <w:rPr>
          <w:rFonts w:ascii="Segoe UI" w:hAnsi="Segoe UI"/>
          <w:sz w:val="22"/>
        </w:rPr>
        <w:t>un 30% menos</w:t>
      </w:r>
      <w:r>
        <w:rPr>
          <w:rFonts w:ascii="Segoe UI" w:hAnsi="Segoe UI"/>
          <w:sz w:val="22"/>
        </w:rPr>
        <w:t>).</w:t>
      </w:r>
    </w:p>
    <w:p w:rsidR="00F67536" w:rsidRDefault="00F67536" w:rsidP="00F67536">
      <w:pPr>
        <w:ind w:left="1080"/>
        <w:rPr>
          <w:rFonts w:ascii="Segoe UI" w:hAnsi="Segoe UI" w:cs="Segoe UI"/>
          <w:b/>
          <w:i/>
          <w:sz w:val="22"/>
          <w:szCs w:val="22"/>
        </w:rPr>
      </w:pPr>
    </w:p>
    <w:p w:rsidR="004C730C" w:rsidRDefault="00F67536" w:rsidP="00660E81">
      <w:pPr>
        <w:ind w:left="357"/>
        <w:rPr>
          <w:rFonts w:ascii="Segoe UI" w:hAnsi="Segoe UI" w:cs="Segoe UI"/>
          <w:i/>
          <w:sz w:val="22"/>
          <w:szCs w:val="22"/>
        </w:rPr>
      </w:pPr>
      <w:r>
        <w:rPr>
          <w:rFonts w:ascii="Segoe UI" w:hAnsi="Segoe UI"/>
          <w:b/>
          <w:i/>
          <w:sz w:val="22"/>
        </w:rPr>
        <w:t xml:space="preserve">Es importante destacar que el crecimiento tan desigual de los ingresos comerciales no es consecuencia del </w:t>
      </w:r>
      <w:r w:rsidR="00B93C3B">
        <w:rPr>
          <w:rFonts w:ascii="Segoe UI" w:hAnsi="Segoe UI"/>
          <w:b/>
          <w:i/>
          <w:sz w:val="22"/>
        </w:rPr>
        <w:t>juego limpio financiero</w:t>
      </w:r>
      <w:r>
        <w:rPr>
          <w:rFonts w:ascii="Segoe UI" w:hAnsi="Segoe UI"/>
          <w:b/>
          <w:i/>
          <w:sz w:val="22"/>
        </w:rPr>
        <w:t xml:space="preserve">, sino resultado de la globalización creciente, del constante aumento de la explotación del fútbol para generar ingresos y del aprovechamiento por parte de los clubes de su atractivo mundial. </w:t>
      </w:r>
      <w:r>
        <w:rPr>
          <w:rFonts w:ascii="Segoe UI" w:hAnsi="Segoe UI"/>
          <w:i/>
          <w:sz w:val="22"/>
        </w:rPr>
        <w:t>La docena más o menos de "súper clubes mundiales" están ampliando sus departamentos comerciales y de patrocinio, y las sociedades comerciales y de patrocinio se están fragmenta</w:t>
      </w:r>
      <w:r w:rsidR="00D8515B">
        <w:rPr>
          <w:rFonts w:ascii="Segoe UI" w:hAnsi="Segoe UI"/>
          <w:i/>
          <w:sz w:val="22"/>
        </w:rPr>
        <w:t>n</w:t>
      </w:r>
      <w:r>
        <w:rPr>
          <w:rFonts w:ascii="Segoe UI" w:hAnsi="Segoe UI"/>
          <w:i/>
          <w:sz w:val="22"/>
        </w:rPr>
        <w:t xml:space="preserve">do y segmentando en contratos cada vez más voluminosos y lucrativos. Esto permite a esos "súper clubes mundiales" generar dinero de sus enormes bases de aficionados que se extienden por todo el planeta, a las que se puede llegar a través de las redes sociales mucho mejor de lo que jamás ha sido posible mediante el </w:t>
      </w:r>
      <w:r w:rsidRPr="00026A7D">
        <w:rPr>
          <w:rFonts w:ascii="Segoe UI" w:hAnsi="Segoe UI"/>
          <w:sz w:val="22"/>
        </w:rPr>
        <w:t>marketing</w:t>
      </w:r>
      <w:r>
        <w:rPr>
          <w:rFonts w:ascii="Segoe UI" w:hAnsi="Segoe UI"/>
          <w:i/>
          <w:sz w:val="22"/>
        </w:rPr>
        <w:t xml:space="preserve"> tradicional. Estas bases de aficionados están creciendo inexorablemente, gracias al impulso que proporcionan las grandes estrellas, las giras por el extranjero y la asidua participación en la fase de grupos de la UEFA Champions League.</w:t>
      </w:r>
    </w:p>
    <w:p w:rsidR="000A2397" w:rsidRPr="000A2397" w:rsidRDefault="000A2397" w:rsidP="00660E81">
      <w:pPr>
        <w:ind w:left="357"/>
        <w:rPr>
          <w:rFonts w:ascii="Segoe UI" w:hAnsi="Segoe UI" w:cs="Segoe UI"/>
          <w:sz w:val="22"/>
          <w:szCs w:val="22"/>
        </w:rPr>
      </w:pPr>
    </w:p>
    <w:p w:rsidR="005A74A7" w:rsidRPr="000A2397" w:rsidRDefault="000A2397" w:rsidP="000A2397">
      <w:pPr>
        <w:jc w:val="center"/>
        <w:rPr>
          <w:rFonts w:ascii="Segoe UI" w:hAnsi="Segoe UI" w:cs="Segoe UI"/>
          <w:b/>
          <w:sz w:val="22"/>
          <w:szCs w:val="22"/>
          <w:u w:val="single"/>
        </w:rPr>
      </w:pPr>
      <w:r>
        <w:rPr>
          <w:rFonts w:ascii="Segoe UI" w:hAnsi="Segoe UI"/>
          <w:b/>
          <w:sz w:val="22"/>
          <w:u w:val="single"/>
        </w:rPr>
        <w:t>Otras tendencias detectadas y documentadas en el informe</w:t>
      </w:r>
    </w:p>
    <w:p w:rsidR="000355FC" w:rsidRDefault="000355FC" w:rsidP="000355FC">
      <w:pPr>
        <w:rPr>
          <w:rFonts w:ascii="Segoe UI" w:hAnsi="Segoe UI" w:cs="Segoe UI"/>
          <w:sz w:val="22"/>
          <w:szCs w:val="22"/>
        </w:rPr>
      </w:pPr>
    </w:p>
    <w:p w:rsidR="00EB6ABD" w:rsidRDefault="00EB6ABD" w:rsidP="000355FC">
      <w:pPr>
        <w:rPr>
          <w:rFonts w:ascii="Segoe UI" w:hAnsi="Segoe UI" w:cs="Segoe UI"/>
          <w:sz w:val="22"/>
          <w:szCs w:val="22"/>
        </w:rPr>
      </w:pPr>
      <w:r>
        <w:rPr>
          <w:rFonts w:ascii="Segoe UI" w:hAnsi="Segoe UI"/>
          <w:i/>
          <w:sz w:val="22"/>
        </w:rPr>
        <w:lastRenderedPageBreak/>
        <w:t>Gobernabilidad y estructuración del fútbol nacional</w:t>
      </w:r>
    </w:p>
    <w:p w:rsidR="00EB6ABD" w:rsidRPr="00EB6ABD" w:rsidRDefault="00EB6ABD" w:rsidP="00EB6ABD">
      <w:pPr>
        <w:pStyle w:val="ListParagraph"/>
        <w:numPr>
          <w:ilvl w:val="0"/>
          <w:numId w:val="1"/>
        </w:numPr>
        <w:rPr>
          <w:rFonts w:ascii="Segoe UI" w:hAnsi="Segoe UI" w:cs="Segoe UI"/>
          <w:sz w:val="22"/>
          <w:szCs w:val="22"/>
        </w:rPr>
      </w:pPr>
      <w:r>
        <w:rPr>
          <w:rFonts w:ascii="Segoe UI" w:hAnsi="Segoe UI"/>
          <w:sz w:val="22"/>
        </w:rPr>
        <w:t>Las limitaciones a los préstamos de jugadores están cada vez más extendidas (las han adoptado ya 15 ligas). Persiguen los objetivos de prevenir que se acaparen futbolistas y de proteger la integridad de las competiciones.</w:t>
      </w:r>
    </w:p>
    <w:p w:rsidR="00EB6ABD" w:rsidRPr="00EB6ABD" w:rsidRDefault="00EB6ABD" w:rsidP="00D16E87">
      <w:pPr>
        <w:pStyle w:val="ListParagraph"/>
        <w:numPr>
          <w:ilvl w:val="0"/>
          <w:numId w:val="1"/>
        </w:numPr>
        <w:rPr>
          <w:rFonts w:ascii="Segoe UI" w:hAnsi="Segoe UI" w:cs="Segoe UI"/>
          <w:sz w:val="22"/>
          <w:szCs w:val="22"/>
        </w:rPr>
      </w:pPr>
      <w:r>
        <w:rPr>
          <w:rFonts w:ascii="Segoe UI" w:hAnsi="Segoe UI"/>
          <w:sz w:val="22"/>
        </w:rPr>
        <w:t xml:space="preserve">Las limitaciones de las plantillas son ahora habituales </w:t>
      </w:r>
      <w:r w:rsidR="00D16E87">
        <w:rPr>
          <w:rFonts w:ascii="Segoe UI" w:hAnsi="Segoe UI"/>
          <w:sz w:val="22"/>
        </w:rPr>
        <w:t>en</w:t>
      </w:r>
      <w:r>
        <w:rPr>
          <w:rFonts w:ascii="Segoe UI" w:hAnsi="Segoe UI"/>
          <w:sz w:val="22"/>
        </w:rPr>
        <w:t xml:space="preserve"> toda Europa (28 países), pero no </w:t>
      </w:r>
      <w:r w:rsidR="00D16E87">
        <w:rPr>
          <w:rFonts w:ascii="Segoe UI" w:hAnsi="Segoe UI"/>
          <w:sz w:val="22"/>
        </w:rPr>
        <w:t>existe</w:t>
      </w:r>
      <w:r>
        <w:rPr>
          <w:rFonts w:ascii="Segoe UI" w:hAnsi="Segoe UI"/>
          <w:sz w:val="22"/>
        </w:rPr>
        <w:t xml:space="preserve"> un planteamiento común (se han detectado 15 variaciones).</w:t>
      </w:r>
    </w:p>
    <w:p w:rsidR="00EB6ABD" w:rsidRDefault="00EB6ABD" w:rsidP="006C4F2F">
      <w:pPr>
        <w:pStyle w:val="ListParagraph"/>
        <w:numPr>
          <w:ilvl w:val="0"/>
          <w:numId w:val="1"/>
        </w:numPr>
        <w:rPr>
          <w:rFonts w:ascii="Segoe UI" w:hAnsi="Segoe UI" w:cs="Segoe UI"/>
          <w:sz w:val="22"/>
          <w:szCs w:val="22"/>
        </w:rPr>
      </w:pPr>
      <w:r>
        <w:rPr>
          <w:rFonts w:ascii="Segoe UI" w:hAnsi="Segoe UI"/>
          <w:sz w:val="22"/>
        </w:rPr>
        <w:t xml:space="preserve">52 copas nacionales </w:t>
      </w:r>
      <w:r w:rsidR="006C4F2F">
        <w:rPr>
          <w:rFonts w:ascii="Segoe UI" w:hAnsi="Segoe UI"/>
          <w:sz w:val="22"/>
        </w:rPr>
        <w:t xml:space="preserve">han eliminado las </w:t>
      </w:r>
      <w:r>
        <w:rPr>
          <w:rFonts w:ascii="Segoe UI" w:hAnsi="Segoe UI"/>
          <w:sz w:val="22"/>
        </w:rPr>
        <w:t xml:space="preserve">repeticiones de partidos después de empates; sólo </w:t>
      </w:r>
      <w:r w:rsidR="006C4F2F">
        <w:rPr>
          <w:rFonts w:ascii="Segoe UI" w:hAnsi="Segoe UI"/>
          <w:sz w:val="22"/>
        </w:rPr>
        <w:t xml:space="preserve">Escocia, </w:t>
      </w:r>
      <w:r>
        <w:rPr>
          <w:rFonts w:ascii="Segoe UI" w:hAnsi="Segoe UI"/>
          <w:sz w:val="22"/>
        </w:rPr>
        <w:t>Inglaterra</w:t>
      </w:r>
      <w:r w:rsidR="006C4F2F">
        <w:rPr>
          <w:rFonts w:ascii="Segoe UI" w:hAnsi="Segoe UI"/>
          <w:sz w:val="22"/>
        </w:rPr>
        <w:t xml:space="preserve"> y la</w:t>
      </w:r>
      <w:r>
        <w:rPr>
          <w:rFonts w:ascii="Segoe UI" w:hAnsi="Segoe UI"/>
          <w:sz w:val="22"/>
        </w:rPr>
        <w:t xml:space="preserve"> República de Irlanda siguen usándolas.</w:t>
      </w:r>
    </w:p>
    <w:p w:rsidR="00EB6ABD" w:rsidRDefault="00EB6ABD" w:rsidP="00EB6ABD">
      <w:pPr>
        <w:pStyle w:val="ListParagraph"/>
        <w:numPr>
          <w:ilvl w:val="0"/>
          <w:numId w:val="1"/>
        </w:numPr>
        <w:rPr>
          <w:rFonts w:ascii="Segoe UI" w:hAnsi="Segoe UI" w:cs="Segoe UI"/>
          <w:sz w:val="22"/>
          <w:szCs w:val="22"/>
        </w:rPr>
      </w:pPr>
      <w:r>
        <w:rPr>
          <w:rFonts w:ascii="Segoe UI" w:hAnsi="Segoe UI"/>
          <w:sz w:val="22"/>
        </w:rPr>
        <w:t>Dada la presión que suponen demasiados partidos, sólo 11 de los 55 países europeos poseen una segunda competición nacional de Copa.</w:t>
      </w:r>
    </w:p>
    <w:p w:rsidR="00EB6ABD" w:rsidRPr="00EB6ABD" w:rsidRDefault="00EB6ABD" w:rsidP="00EB6ABD">
      <w:pPr>
        <w:pStyle w:val="ListParagraph"/>
        <w:numPr>
          <w:ilvl w:val="0"/>
          <w:numId w:val="1"/>
        </w:numPr>
        <w:rPr>
          <w:rFonts w:ascii="Segoe UI" w:hAnsi="Segoe UI" w:cs="Segoe UI"/>
          <w:sz w:val="22"/>
          <w:szCs w:val="22"/>
        </w:rPr>
      </w:pPr>
      <w:r>
        <w:rPr>
          <w:rFonts w:ascii="Segoe UI" w:hAnsi="Segoe UI"/>
          <w:sz w:val="22"/>
        </w:rPr>
        <w:t>Se han generalizado reglas específicas sobre jugadores formados localmente (23 países) y reglas sobre la nacionalidad (38 países), con muchas variaciones.</w:t>
      </w:r>
    </w:p>
    <w:p w:rsidR="00EB6ABD" w:rsidRDefault="00EB6ABD" w:rsidP="00980D62">
      <w:pPr>
        <w:rPr>
          <w:rFonts w:ascii="Segoe UI" w:hAnsi="Segoe UI" w:cs="Segoe UI"/>
          <w:sz w:val="22"/>
          <w:szCs w:val="22"/>
        </w:rPr>
      </w:pPr>
    </w:p>
    <w:p w:rsidR="00980D62" w:rsidRPr="00980D62" w:rsidRDefault="00980D62" w:rsidP="00980D62">
      <w:pPr>
        <w:rPr>
          <w:rFonts w:ascii="Segoe UI" w:hAnsi="Segoe UI" w:cs="Segoe UI"/>
          <w:i/>
          <w:sz w:val="22"/>
          <w:szCs w:val="22"/>
        </w:rPr>
      </w:pPr>
      <w:r>
        <w:rPr>
          <w:rFonts w:ascii="Segoe UI" w:hAnsi="Segoe UI"/>
          <w:i/>
          <w:sz w:val="22"/>
        </w:rPr>
        <w:t>Entrenadores y jugadores</w:t>
      </w:r>
    </w:p>
    <w:p w:rsidR="00980D62" w:rsidRDefault="00980D62" w:rsidP="00980D62">
      <w:pPr>
        <w:pStyle w:val="ListParagraph"/>
        <w:numPr>
          <w:ilvl w:val="0"/>
          <w:numId w:val="3"/>
        </w:numPr>
        <w:rPr>
          <w:rFonts w:ascii="Segoe UI" w:hAnsi="Segoe UI" w:cs="Segoe UI"/>
          <w:sz w:val="22"/>
          <w:szCs w:val="22"/>
        </w:rPr>
      </w:pPr>
      <w:r>
        <w:rPr>
          <w:rFonts w:ascii="Segoe UI" w:hAnsi="Segoe UI"/>
          <w:sz w:val="22"/>
        </w:rPr>
        <w:t>Al menos un entrenador fue sustituido en cada una de las 60 ligas europeas analizadas en este informe</w:t>
      </w:r>
      <w:r w:rsidR="00E42577">
        <w:rPr>
          <w:rFonts w:ascii="Segoe UI" w:hAnsi="Segoe UI"/>
          <w:sz w:val="22"/>
        </w:rPr>
        <w:t>.</w:t>
      </w:r>
    </w:p>
    <w:p w:rsidR="00980D62" w:rsidRDefault="00832D4A" w:rsidP="00980D62">
      <w:pPr>
        <w:pStyle w:val="ListParagraph"/>
        <w:numPr>
          <w:ilvl w:val="0"/>
          <w:numId w:val="3"/>
        </w:numPr>
        <w:rPr>
          <w:rFonts w:ascii="Segoe UI" w:hAnsi="Segoe UI" w:cs="Segoe UI"/>
          <w:sz w:val="22"/>
          <w:szCs w:val="22"/>
        </w:rPr>
      </w:pPr>
      <w:r>
        <w:rPr>
          <w:rFonts w:ascii="Segoe UI" w:hAnsi="Segoe UI"/>
          <w:sz w:val="22"/>
        </w:rPr>
        <w:t>El ritmo de los cambios de entrenadores en las 90 ligas mundiales que ha analizado la UEFA se ha mantenido sistemáticamente alto en las cuatro últimas temporadas, y un 63% de los clubes cambiaron de entrenador en 2015.</w:t>
      </w:r>
    </w:p>
    <w:p w:rsidR="00980D62" w:rsidRPr="00980D62" w:rsidRDefault="00980D62" w:rsidP="001120F8">
      <w:pPr>
        <w:pStyle w:val="ListParagraph"/>
        <w:numPr>
          <w:ilvl w:val="0"/>
          <w:numId w:val="3"/>
        </w:numPr>
        <w:rPr>
          <w:rFonts w:ascii="Segoe UI" w:hAnsi="Segoe UI" w:cs="Segoe UI"/>
          <w:sz w:val="22"/>
          <w:szCs w:val="22"/>
        </w:rPr>
      </w:pPr>
      <w:r>
        <w:rPr>
          <w:rFonts w:ascii="Segoe UI" w:hAnsi="Segoe UI"/>
          <w:sz w:val="22"/>
        </w:rPr>
        <w:t>Los entrenadores de Italia y Serbia son los que están más repartidos, pues trabajan en al menos un club de 15 y 14 ligas diferentes respectivamente.</w:t>
      </w:r>
    </w:p>
    <w:p w:rsidR="00706E8C" w:rsidRPr="00706E8C" w:rsidRDefault="00706E8C" w:rsidP="006573A2">
      <w:pPr>
        <w:pStyle w:val="ListParagraph"/>
        <w:numPr>
          <w:ilvl w:val="0"/>
          <w:numId w:val="3"/>
        </w:numPr>
        <w:rPr>
          <w:rFonts w:ascii="Segoe UI" w:hAnsi="Segoe UI" w:cs="Segoe UI"/>
          <w:sz w:val="22"/>
          <w:szCs w:val="22"/>
        </w:rPr>
      </w:pPr>
      <w:r>
        <w:rPr>
          <w:rFonts w:ascii="Segoe UI" w:hAnsi="Segoe UI"/>
          <w:sz w:val="22"/>
        </w:rPr>
        <w:t xml:space="preserve">Una gran mayoría, el 82%, de los </w:t>
      </w:r>
      <w:r w:rsidR="002C5E16">
        <w:rPr>
          <w:rFonts w:ascii="Segoe UI" w:hAnsi="Segoe UI"/>
          <w:sz w:val="22"/>
        </w:rPr>
        <w:t>mejores jugadores del mundo</w:t>
      </w:r>
      <w:r>
        <w:rPr>
          <w:rFonts w:ascii="Segoe UI" w:hAnsi="Segoe UI"/>
          <w:sz w:val="22"/>
        </w:rPr>
        <w:t xml:space="preserve"> </w:t>
      </w:r>
      <w:r w:rsidR="006573A2">
        <w:rPr>
          <w:rFonts w:ascii="Segoe UI" w:hAnsi="Segoe UI"/>
          <w:sz w:val="22"/>
        </w:rPr>
        <w:t xml:space="preserve">(según el valor calculado de mercado) </w:t>
      </w:r>
      <w:r>
        <w:rPr>
          <w:rFonts w:ascii="Segoe UI" w:hAnsi="Segoe UI"/>
          <w:sz w:val="22"/>
        </w:rPr>
        <w:t xml:space="preserve">se encuentra concentrada en las ligas europeas, y el 48% de ellos juegan en </w:t>
      </w:r>
      <w:r w:rsidR="0087214E">
        <w:rPr>
          <w:rFonts w:ascii="Segoe UI" w:hAnsi="Segoe UI"/>
          <w:sz w:val="22"/>
        </w:rPr>
        <w:t xml:space="preserve">Alemania, España, </w:t>
      </w:r>
      <w:r>
        <w:rPr>
          <w:rFonts w:ascii="Segoe UI" w:hAnsi="Segoe UI"/>
          <w:sz w:val="22"/>
        </w:rPr>
        <w:t>Inglaterra</w:t>
      </w:r>
      <w:r w:rsidR="0087214E">
        <w:rPr>
          <w:rFonts w:ascii="Segoe UI" w:hAnsi="Segoe UI"/>
          <w:sz w:val="22"/>
        </w:rPr>
        <w:t xml:space="preserve"> o</w:t>
      </w:r>
      <w:r>
        <w:rPr>
          <w:rFonts w:ascii="Segoe UI" w:hAnsi="Segoe UI"/>
          <w:sz w:val="22"/>
        </w:rPr>
        <w:t xml:space="preserve"> Italia.</w:t>
      </w:r>
    </w:p>
    <w:p w:rsidR="00706E8C" w:rsidRPr="00706E8C" w:rsidRDefault="00706E8C" w:rsidP="00706E8C">
      <w:pPr>
        <w:pStyle w:val="ListParagraph"/>
        <w:numPr>
          <w:ilvl w:val="0"/>
          <w:numId w:val="3"/>
        </w:numPr>
        <w:rPr>
          <w:rFonts w:ascii="Segoe UI" w:hAnsi="Segoe UI" w:cs="Segoe UI"/>
          <w:sz w:val="22"/>
          <w:szCs w:val="22"/>
        </w:rPr>
      </w:pPr>
      <w:r>
        <w:rPr>
          <w:rFonts w:ascii="Segoe UI" w:hAnsi="Segoe UI"/>
          <w:sz w:val="22"/>
        </w:rPr>
        <w:t>La Premier League inglesa posee el porcentaje más alto de jugadores expatriados, casi el 70%.</w:t>
      </w:r>
    </w:p>
    <w:p w:rsidR="00980D62" w:rsidRDefault="00980D62" w:rsidP="00706E8C">
      <w:pPr>
        <w:ind w:left="360"/>
        <w:rPr>
          <w:rFonts w:ascii="Segoe UI" w:hAnsi="Segoe UI" w:cs="Segoe UI"/>
          <w:sz w:val="22"/>
          <w:szCs w:val="22"/>
        </w:rPr>
      </w:pPr>
    </w:p>
    <w:p w:rsidR="00706E8C" w:rsidRPr="00706E8C" w:rsidRDefault="00706E8C" w:rsidP="00706E8C">
      <w:pPr>
        <w:rPr>
          <w:rFonts w:ascii="Segoe UI" w:hAnsi="Segoe UI" w:cs="Segoe UI"/>
          <w:i/>
          <w:sz w:val="22"/>
          <w:szCs w:val="22"/>
        </w:rPr>
      </w:pPr>
      <w:r>
        <w:rPr>
          <w:rFonts w:ascii="Segoe UI" w:hAnsi="Segoe UI"/>
          <w:i/>
          <w:sz w:val="22"/>
        </w:rPr>
        <w:t>Aficionados</w:t>
      </w:r>
    </w:p>
    <w:p w:rsidR="00706E8C" w:rsidRPr="00706E8C" w:rsidRDefault="00706E8C" w:rsidP="00EA0170">
      <w:pPr>
        <w:pStyle w:val="ListParagraph"/>
        <w:numPr>
          <w:ilvl w:val="0"/>
          <w:numId w:val="3"/>
        </w:numPr>
        <w:rPr>
          <w:rFonts w:ascii="Segoe UI" w:hAnsi="Segoe UI" w:cs="Segoe UI"/>
          <w:sz w:val="22"/>
          <w:szCs w:val="22"/>
        </w:rPr>
      </w:pPr>
      <w:r>
        <w:rPr>
          <w:rFonts w:ascii="Segoe UI" w:hAnsi="Segoe UI"/>
          <w:sz w:val="22"/>
        </w:rPr>
        <w:t>Un total de más de 170 millones de espectadores asistió a los partidos de las ligas europeas en 2015/16, con 55 millones de ellos presentes en los encuentros de Inglaterra y Alemania.</w:t>
      </w:r>
    </w:p>
    <w:p w:rsidR="00706E8C" w:rsidRPr="00706E8C" w:rsidRDefault="00706E8C" w:rsidP="00EA0170">
      <w:pPr>
        <w:pStyle w:val="ListParagraph"/>
        <w:numPr>
          <w:ilvl w:val="0"/>
          <w:numId w:val="3"/>
        </w:numPr>
        <w:rPr>
          <w:rFonts w:ascii="Segoe UI" w:hAnsi="Segoe UI" w:cs="Segoe UI"/>
          <w:sz w:val="22"/>
          <w:szCs w:val="22"/>
        </w:rPr>
      </w:pPr>
      <w:r>
        <w:rPr>
          <w:rFonts w:ascii="Segoe UI" w:hAnsi="Segoe UI"/>
          <w:sz w:val="22"/>
        </w:rPr>
        <w:t>La pasada temporada se produjo un importante aumento de 2,6 millones de espectadores en Europa, y 14 ligas alcanzaron sus mejores cifras de asistencia en más de diez años.</w:t>
      </w:r>
    </w:p>
    <w:p w:rsidR="00706E8C" w:rsidRDefault="00EA0170" w:rsidP="00EA0170">
      <w:pPr>
        <w:pStyle w:val="ListParagraph"/>
        <w:numPr>
          <w:ilvl w:val="0"/>
          <w:numId w:val="3"/>
        </w:numPr>
        <w:rPr>
          <w:rFonts w:ascii="Segoe UI" w:hAnsi="Segoe UI" w:cs="Segoe UI"/>
          <w:sz w:val="22"/>
          <w:szCs w:val="22"/>
        </w:rPr>
      </w:pPr>
      <w:r>
        <w:rPr>
          <w:rFonts w:ascii="Segoe UI" w:hAnsi="Segoe UI"/>
          <w:sz w:val="22"/>
        </w:rPr>
        <w:t>29 clubes disfrutaron en sus sitios web oficiales de al menos un millón de visitas mensuales de seguidores en 2016: 7 clubes ingleses, 5 alemanes, otros 15 clubes europeos y 2 clubes de fuera de Europa.</w:t>
      </w:r>
    </w:p>
    <w:p w:rsidR="00EA0170" w:rsidRDefault="00EA0170" w:rsidP="00EA0170">
      <w:pPr>
        <w:rPr>
          <w:rFonts w:ascii="Segoe UI" w:hAnsi="Segoe UI" w:cs="Segoe UI"/>
          <w:sz w:val="22"/>
          <w:szCs w:val="22"/>
        </w:rPr>
      </w:pPr>
    </w:p>
    <w:p w:rsidR="00EA0170" w:rsidRPr="00EA0170" w:rsidRDefault="00EA0170" w:rsidP="00EA0170">
      <w:pPr>
        <w:rPr>
          <w:rFonts w:ascii="Segoe UI" w:hAnsi="Segoe UI" w:cs="Segoe UI"/>
          <w:i/>
          <w:sz w:val="22"/>
          <w:szCs w:val="22"/>
        </w:rPr>
      </w:pPr>
      <w:r>
        <w:rPr>
          <w:rFonts w:ascii="Segoe UI" w:hAnsi="Segoe UI"/>
          <w:i/>
          <w:sz w:val="22"/>
        </w:rPr>
        <w:t>Estadios y construcción de estadios</w:t>
      </w:r>
    </w:p>
    <w:p w:rsidR="00EA0170" w:rsidRDefault="00EA0170" w:rsidP="00EA0170">
      <w:pPr>
        <w:pStyle w:val="ListParagraph"/>
        <w:numPr>
          <w:ilvl w:val="0"/>
          <w:numId w:val="5"/>
        </w:numPr>
        <w:rPr>
          <w:rFonts w:ascii="Segoe UI" w:hAnsi="Segoe UI" w:cs="Segoe UI"/>
          <w:sz w:val="22"/>
          <w:szCs w:val="22"/>
        </w:rPr>
      </w:pPr>
      <w:r>
        <w:rPr>
          <w:rFonts w:ascii="Segoe UI" w:hAnsi="Segoe UI"/>
          <w:sz w:val="22"/>
        </w:rPr>
        <w:t>El fútbol representa 240 de los 365 grandes proyectos de estadios en todo el mundo (al aire libre y con aforo superior a las 5</w:t>
      </w:r>
      <w:r w:rsidR="0087214E">
        <w:rPr>
          <w:rFonts w:ascii="Segoe UI" w:hAnsi="Segoe UI"/>
          <w:sz w:val="22"/>
        </w:rPr>
        <w:t> </w:t>
      </w:r>
      <w:r>
        <w:rPr>
          <w:rFonts w:ascii="Segoe UI" w:hAnsi="Segoe UI"/>
          <w:sz w:val="22"/>
        </w:rPr>
        <w:t>000 localidades) en la última década.</w:t>
      </w:r>
    </w:p>
    <w:p w:rsidR="00EA0170" w:rsidRPr="00EA0170" w:rsidRDefault="009B6F83" w:rsidP="00EA0170">
      <w:pPr>
        <w:pStyle w:val="ListParagraph"/>
        <w:numPr>
          <w:ilvl w:val="0"/>
          <w:numId w:val="5"/>
        </w:numPr>
        <w:rPr>
          <w:rFonts w:ascii="Segoe UI" w:hAnsi="Segoe UI" w:cs="Segoe UI"/>
          <w:sz w:val="22"/>
          <w:szCs w:val="22"/>
        </w:rPr>
      </w:pPr>
      <w:r>
        <w:rPr>
          <w:rFonts w:ascii="Segoe UI" w:hAnsi="Segoe UI"/>
          <w:sz w:val="22"/>
        </w:rPr>
        <w:t>Turquía (18), Polonia (14</w:t>
      </w:r>
      <w:bookmarkStart w:id="0" w:name="_GoBack"/>
      <w:bookmarkEnd w:id="0"/>
      <w:r w:rsidR="00EA0170">
        <w:rPr>
          <w:rFonts w:ascii="Segoe UI" w:hAnsi="Segoe UI"/>
          <w:sz w:val="22"/>
        </w:rPr>
        <w:t>) y Rusia (14) han emprendido la mayor cantidad de los grandes proyectos de estadios de nueva planta llevados a cabo en Europa desde 2007.</w:t>
      </w:r>
    </w:p>
    <w:p w:rsidR="0051240F" w:rsidRPr="00EA0170" w:rsidRDefault="0051240F" w:rsidP="003349F8">
      <w:pPr>
        <w:pStyle w:val="ListParagraph"/>
        <w:numPr>
          <w:ilvl w:val="0"/>
          <w:numId w:val="5"/>
        </w:numPr>
        <w:rPr>
          <w:rFonts w:ascii="Segoe UI" w:hAnsi="Segoe UI" w:cs="Segoe UI"/>
          <w:sz w:val="22"/>
          <w:szCs w:val="22"/>
        </w:rPr>
      </w:pPr>
      <w:r>
        <w:rPr>
          <w:rFonts w:ascii="Segoe UI" w:hAnsi="Segoe UI"/>
          <w:sz w:val="22"/>
        </w:rPr>
        <w:t xml:space="preserve">Se </w:t>
      </w:r>
      <w:r w:rsidR="0087214E">
        <w:rPr>
          <w:rFonts w:ascii="Segoe UI" w:hAnsi="Segoe UI"/>
          <w:sz w:val="22"/>
        </w:rPr>
        <w:t>observa</w:t>
      </w:r>
      <w:r>
        <w:rPr>
          <w:rFonts w:ascii="Segoe UI" w:hAnsi="Segoe UI"/>
          <w:sz w:val="22"/>
        </w:rPr>
        <w:t xml:space="preserve"> una notable tendencia al al</w:t>
      </w:r>
      <w:r w:rsidR="003349F8">
        <w:rPr>
          <w:rFonts w:ascii="Segoe UI" w:hAnsi="Segoe UI"/>
          <w:sz w:val="22"/>
        </w:rPr>
        <w:t>za</w:t>
      </w:r>
      <w:r>
        <w:rPr>
          <w:rFonts w:ascii="Segoe UI" w:hAnsi="Segoe UI"/>
          <w:sz w:val="22"/>
        </w:rPr>
        <w:t xml:space="preserve"> en la construcción de estadios en Europa: 58 estadios de clubes de nueva planta o reconstruidos se han programado entre 2013 y 2017, contra los 23 programados entre 2008 y 2012.</w:t>
      </w:r>
    </w:p>
    <w:p w:rsidR="00EA0170" w:rsidRDefault="00EA0170" w:rsidP="0051240F">
      <w:pPr>
        <w:rPr>
          <w:rFonts w:ascii="Segoe UI" w:hAnsi="Segoe UI" w:cs="Segoe UI"/>
          <w:sz w:val="22"/>
          <w:szCs w:val="22"/>
        </w:rPr>
      </w:pPr>
    </w:p>
    <w:p w:rsidR="0051240F" w:rsidRPr="0051240F" w:rsidRDefault="0051240F" w:rsidP="0051240F">
      <w:pPr>
        <w:rPr>
          <w:rFonts w:ascii="Segoe UI" w:hAnsi="Segoe UI" w:cs="Segoe UI"/>
          <w:i/>
          <w:sz w:val="22"/>
          <w:szCs w:val="22"/>
        </w:rPr>
      </w:pPr>
      <w:r>
        <w:rPr>
          <w:rFonts w:ascii="Segoe UI" w:hAnsi="Segoe UI"/>
          <w:i/>
          <w:sz w:val="22"/>
        </w:rPr>
        <w:t>Propiedad de los clubes y patrocinio</w:t>
      </w:r>
    </w:p>
    <w:p w:rsidR="0051240F" w:rsidRPr="0051240F" w:rsidRDefault="0087214E" w:rsidP="0051240F">
      <w:pPr>
        <w:pStyle w:val="ListParagraph"/>
        <w:numPr>
          <w:ilvl w:val="0"/>
          <w:numId w:val="5"/>
        </w:numPr>
        <w:rPr>
          <w:rFonts w:ascii="Segoe UI" w:hAnsi="Segoe UI" w:cs="Segoe UI"/>
          <w:sz w:val="22"/>
          <w:szCs w:val="22"/>
        </w:rPr>
      </w:pPr>
      <w:r>
        <w:rPr>
          <w:rFonts w:ascii="Segoe UI" w:hAnsi="Segoe UI"/>
          <w:sz w:val="22"/>
        </w:rPr>
        <w:lastRenderedPageBreak/>
        <w:t>44</w:t>
      </w:r>
      <w:r w:rsidR="0051240F">
        <w:rPr>
          <w:rFonts w:ascii="Segoe UI" w:hAnsi="Segoe UI"/>
          <w:sz w:val="22"/>
        </w:rPr>
        <w:t xml:space="preserve"> clubes de las grandes ligas europeas se encuentran actualmente bajo propiedad extranjera, con propietarios de 18 nacionalidades diferentes.</w:t>
      </w:r>
    </w:p>
    <w:p w:rsidR="0051240F" w:rsidRPr="0051240F" w:rsidRDefault="0051240F" w:rsidP="000B6ACD">
      <w:pPr>
        <w:pStyle w:val="ListParagraph"/>
        <w:numPr>
          <w:ilvl w:val="0"/>
          <w:numId w:val="5"/>
        </w:numPr>
        <w:rPr>
          <w:rFonts w:ascii="Segoe UI" w:hAnsi="Segoe UI" w:cs="Segoe UI"/>
          <w:sz w:val="22"/>
          <w:szCs w:val="22"/>
        </w:rPr>
      </w:pPr>
      <w:r>
        <w:rPr>
          <w:rFonts w:ascii="Segoe UI" w:hAnsi="Segoe UI"/>
          <w:sz w:val="22"/>
        </w:rPr>
        <w:t>2016 fue el año de más actividad para las ad</w:t>
      </w:r>
      <w:r w:rsidR="00B72B1A">
        <w:rPr>
          <w:rFonts w:ascii="Segoe UI" w:hAnsi="Segoe UI"/>
          <w:sz w:val="22"/>
        </w:rPr>
        <w:t>quisiciones de clubes por parte</w:t>
      </w:r>
      <w:r>
        <w:rPr>
          <w:rFonts w:ascii="Segoe UI" w:hAnsi="Segoe UI"/>
          <w:sz w:val="22"/>
        </w:rPr>
        <w:t xml:space="preserve"> de extranjeros, con diez nuevas adquisiciones </w:t>
      </w:r>
      <w:r w:rsidR="000B6ACD">
        <w:rPr>
          <w:rFonts w:ascii="Segoe UI" w:hAnsi="Segoe UI"/>
          <w:sz w:val="22"/>
        </w:rPr>
        <w:t>terminadas</w:t>
      </w:r>
      <w:r>
        <w:rPr>
          <w:rFonts w:ascii="Segoe UI" w:hAnsi="Segoe UI"/>
          <w:sz w:val="22"/>
        </w:rPr>
        <w:t xml:space="preserve"> para noviembre, incluidas ocho con nuevos propietarios chinos.</w:t>
      </w:r>
    </w:p>
    <w:p w:rsidR="0051240F" w:rsidRPr="0051240F" w:rsidRDefault="0051240F" w:rsidP="0051240F">
      <w:pPr>
        <w:pStyle w:val="ListParagraph"/>
        <w:numPr>
          <w:ilvl w:val="0"/>
          <w:numId w:val="5"/>
        </w:numPr>
        <w:rPr>
          <w:rFonts w:ascii="Segoe UI" w:hAnsi="Segoe UI" w:cs="Segoe UI"/>
          <w:sz w:val="22"/>
          <w:szCs w:val="22"/>
        </w:rPr>
      </w:pPr>
      <w:r>
        <w:rPr>
          <w:rFonts w:ascii="Segoe UI" w:hAnsi="Segoe UI"/>
          <w:sz w:val="22"/>
        </w:rPr>
        <w:t>Las propiedades extranjeras siguen concentrándose en Inglaterra, donde más de la mitad de los clubes de las dos primeras ligas tienen ahora propietarios extranjeros.</w:t>
      </w:r>
    </w:p>
    <w:p w:rsidR="0051240F" w:rsidRDefault="000D0F14" w:rsidP="00550B80">
      <w:pPr>
        <w:pStyle w:val="ListParagraph"/>
        <w:numPr>
          <w:ilvl w:val="0"/>
          <w:numId w:val="5"/>
        </w:numPr>
        <w:rPr>
          <w:rFonts w:ascii="Segoe UI" w:hAnsi="Segoe UI" w:cs="Segoe UI"/>
          <w:sz w:val="22"/>
          <w:szCs w:val="22"/>
        </w:rPr>
      </w:pPr>
      <w:r>
        <w:rPr>
          <w:rFonts w:ascii="Segoe UI" w:hAnsi="Segoe UI"/>
          <w:sz w:val="22"/>
        </w:rPr>
        <w:t>Los derechos de los nombres comerciales se aplican en el 25</w:t>
      </w:r>
      <w:r w:rsidR="002C5E16">
        <w:rPr>
          <w:rFonts w:ascii="Segoe UI" w:hAnsi="Segoe UI"/>
          <w:sz w:val="22"/>
        </w:rPr>
        <w:t> </w:t>
      </w:r>
      <w:r>
        <w:rPr>
          <w:rFonts w:ascii="Segoe UI" w:hAnsi="Segoe UI"/>
          <w:sz w:val="22"/>
        </w:rPr>
        <w:t>% de los estadios de clubes europeos, pero siguen aumentando</w:t>
      </w:r>
      <w:r w:rsidR="00550B80">
        <w:rPr>
          <w:rFonts w:ascii="Segoe UI" w:hAnsi="Segoe UI"/>
          <w:sz w:val="22"/>
        </w:rPr>
        <w:t>.</w:t>
      </w:r>
      <w:r>
        <w:rPr>
          <w:rFonts w:ascii="Segoe UI" w:hAnsi="Segoe UI"/>
          <w:sz w:val="22"/>
        </w:rPr>
        <w:t xml:space="preserve"> </w:t>
      </w:r>
      <w:r w:rsidR="00550B80">
        <w:rPr>
          <w:rFonts w:ascii="Segoe UI" w:hAnsi="Segoe UI"/>
          <w:sz w:val="22"/>
        </w:rPr>
        <w:t>S</w:t>
      </w:r>
      <w:r>
        <w:rPr>
          <w:rFonts w:ascii="Segoe UI" w:hAnsi="Segoe UI"/>
          <w:sz w:val="22"/>
        </w:rPr>
        <w:t>on más habituales en Alemania y</w:t>
      </w:r>
      <w:r w:rsidR="00550B80">
        <w:rPr>
          <w:rFonts w:ascii="Segoe UI" w:hAnsi="Segoe UI"/>
          <w:sz w:val="22"/>
        </w:rPr>
        <w:t xml:space="preserve">, a continuación, </w:t>
      </w:r>
      <w:r>
        <w:rPr>
          <w:rFonts w:ascii="Segoe UI" w:hAnsi="Segoe UI"/>
          <w:sz w:val="22"/>
        </w:rPr>
        <w:t>en Dinamarca, donde más de la mitad de los estadios tienen contratos de derechos de nombres comerciales.</w:t>
      </w:r>
    </w:p>
    <w:p w:rsidR="0051240F" w:rsidRPr="0051240F" w:rsidRDefault="0051240F" w:rsidP="0051240F">
      <w:pPr>
        <w:pStyle w:val="ListParagraph"/>
        <w:numPr>
          <w:ilvl w:val="0"/>
          <w:numId w:val="5"/>
        </w:numPr>
        <w:rPr>
          <w:rFonts w:ascii="Segoe UI" w:hAnsi="Segoe UI" w:cs="Segoe UI"/>
          <w:sz w:val="22"/>
          <w:szCs w:val="22"/>
        </w:rPr>
      </w:pPr>
      <w:r>
        <w:rPr>
          <w:rFonts w:ascii="Segoe UI" w:hAnsi="Segoe UI"/>
          <w:sz w:val="22"/>
        </w:rPr>
        <w:t xml:space="preserve">Los tres principales fabricantes de uniformes de fútbol (Adidas, Nike y Puma) suministran </w:t>
      </w:r>
      <w:r w:rsidR="002C5E16">
        <w:rPr>
          <w:rFonts w:ascii="Segoe UI" w:hAnsi="Segoe UI"/>
          <w:sz w:val="22"/>
        </w:rPr>
        <w:t xml:space="preserve">sus productos a </w:t>
      </w:r>
      <w:r w:rsidR="00AE4BBF">
        <w:rPr>
          <w:rFonts w:ascii="Segoe UI" w:hAnsi="Segoe UI"/>
          <w:sz w:val="22"/>
        </w:rPr>
        <w:t>un poco menos</w:t>
      </w:r>
      <w:r>
        <w:rPr>
          <w:rFonts w:ascii="Segoe UI" w:hAnsi="Segoe UI"/>
          <w:sz w:val="22"/>
        </w:rPr>
        <w:t xml:space="preserve"> de la mitad de </w:t>
      </w:r>
      <w:r w:rsidR="00AE4BBF">
        <w:rPr>
          <w:rFonts w:ascii="Segoe UI" w:hAnsi="Segoe UI"/>
          <w:sz w:val="22"/>
        </w:rPr>
        <w:t xml:space="preserve">los </w:t>
      </w:r>
      <w:r>
        <w:rPr>
          <w:rFonts w:ascii="Segoe UI" w:hAnsi="Segoe UI"/>
          <w:sz w:val="22"/>
        </w:rPr>
        <w:t>equipos de clubes de las principales ligas europeas.</w:t>
      </w:r>
    </w:p>
    <w:p w:rsidR="0051240F" w:rsidRDefault="0051240F" w:rsidP="00753CCC">
      <w:pPr>
        <w:pStyle w:val="ListParagraph"/>
        <w:numPr>
          <w:ilvl w:val="0"/>
          <w:numId w:val="5"/>
        </w:numPr>
        <w:rPr>
          <w:rFonts w:ascii="Segoe UI" w:hAnsi="Segoe UI" w:cs="Segoe UI"/>
          <w:sz w:val="22"/>
          <w:szCs w:val="22"/>
        </w:rPr>
      </w:pPr>
      <w:r>
        <w:rPr>
          <w:rFonts w:ascii="Segoe UI" w:hAnsi="Segoe UI"/>
          <w:sz w:val="22"/>
        </w:rPr>
        <w:t>En cambio, el patrocinio de las camisetas experimenta un escaso grado de concentración: sólo el 6% de los patrocinadores aparecen en las camisetas de más de un club.</w:t>
      </w:r>
    </w:p>
    <w:p w:rsidR="000A2397" w:rsidRDefault="000A2397" w:rsidP="000A2397">
      <w:pPr>
        <w:rPr>
          <w:rFonts w:ascii="Segoe UI" w:hAnsi="Segoe UI" w:cs="Segoe UI"/>
          <w:sz w:val="22"/>
          <w:szCs w:val="22"/>
        </w:rPr>
      </w:pPr>
    </w:p>
    <w:p w:rsidR="000A2397" w:rsidRPr="000A2397" w:rsidRDefault="000A2397" w:rsidP="000A2397">
      <w:pPr>
        <w:jc w:val="center"/>
        <w:rPr>
          <w:rFonts w:ascii="Segoe UI" w:hAnsi="Segoe UI" w:cs="Segoe UI"/>
          <w:sz w:val="22"/>
          <w:szCs w:val="22"/>
        </w:rPr>
      </w:pPr>
      <w:r>
        <w:rPr>
          <w:rFonts w:ascii="Segoe UI" w:hAnsi="Segoe UI"/>
          <w:sz w:val="22"/>
        </w:rPr>
        <w:t>_____________</w:t>
      </w:r>
    </w:p>
    <w:sectPr w:rsidR="000A2397" w:rsidRPr="000A2397" w:rsidSect="00EA017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CE" w:rsidRDefault="00B163CE" w:rsidP="000A2397">
      <w:r>
        <w:separator/>
      </w:r>
    </w:p>
  </w:endnote>
  <w:endnote w:type="continuationSeparator" w:id="0">
    <w:p w:rsidR="00B163CE" w:rsidRDefault="00B163CE" w:rsidP="000A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CE" w:rsidRDefault="00B163CE" w:rsidP="000A2397">
      <w:r>
        <w:separator/>
      </w:r>
    </w:p>
  </w:footnote>
  <w:footnote w:type="continuationSeparator" w:id="0">
    <w:p w:rsidR="00B163CE" w:rsidRDefault="00B163CE" w:rsidP="000A2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2D3"/>
    <w:multiLevelType w:val="hybridMultilevel"/>
    <w:tmpl w:val="58983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85CDD"/>
    <w:multiLevelType w:val="hybridMultilevel"/>
    <w:tmpl w:val="9F949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8D6449"/>
    <w:multiLevelType w:val="hybridMultilevel"/>
    <w:tmpl w:val="2E38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C61C8"/>
    <w:multiLevelType w:val="hybridMultilevel"/>
    <w:tmpl w:val="26B41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8D12E7"/>
    <w:multiLevelType w:val="hybridMultilevel"/>
    <w:tmpl w:val="CC5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0C"/>
    <w:rsid w:val="00026A7D"/>
    <w:rsid w:val="000355FC"/>
    <w:rsid w:val="000A2397"/>
    <w:rsid w:val="000B6ACD"/>
    <w:rsid w:val="000C004D"/>
    <w:rsid w:val="000D0F14"/>
    <w:rsid w:val="00103C75"/>
    <w:rsid w:val="001120F8"/>
    <w:rsid w:val="00233CC0"/>
    <w:rsid w:val="002C5E16"/>
    <w:rsid w:val="003013B3"/>
    <w:rsid w:val="003349F8"/>
    <w:rsid w:val="003741D2"/>
    <w:rsid w:val="003837FD"/>
    <w:rsid w:val="004C730C"/>
    <w:rsid w:val="004E6379"/>
    <w:rsid w:val="0051240F"/>
    <w:rsid w:val="00550B80"/>
    <w:rsid w:val="005A74A7"/>
    <w:rsid w:val="005F200E"/>
    <w:rsid w:val="006573A2"/>
    <w:rsid w:val="00660E81"/>
    <w:rsid w:val="006A2DE6"/>
    <w:rsid w:val="006C4F2F"/>
    <w:rsid w:val="00706E8C"/>
    <w:rsid w:val="00753CCC"/>
    <w:rsid w:val="007558DB"/>
    <w:rsid w:val="00794AC5"/>
    <w:rsid w:val="007C3C1D"/>
    <w:rsid w:val="007E7BED"/>
    <w:rsid w:val="00832D4A"/>
    <w:rsid w:val="00834D16"/>
    <w:rsid w:val="0087214E"/>
    <w:rsid w:val="008F34A2"/>
    <w:rsid w:val="00980D62"/>
    <w:rsid w:val="009B6F83"/>
    <w:rsid w:val="009C74A2"/>
    <w:rsid w:val="009E0953"/>
    <w:rsid w:val="009E19BA"/>
    <w:rsid w:val="00A72FCA"/>
    <w:rsid w:val="00AE4BBF"/>
    <w:rsid w:val="00B163CE"/>
    <w:rsid w:val="00B610D3"/>
    <w:rsid w:val="00B72B1A"/>
    <w:rsid w:val="00B93C3B"/>
    <w:rsid w:val="00C825DD"/>
    <w:rsid w:val="00D16E87"/>
    <w:rsid w:val="00D4128D"/>
    <w:rsid w:val="00D8515B"/>
    <w:rsid w:val="00DA34B2"/>
    <w:rsid w:val="00E06ED2"/>
    <w:rsid w:val="00E42577"/>
    <w:rsid w:val="00E9728E"/>
    <w:rsid w:val="00EA0170"/>
    <w:rsid w:val="00EA300C"/>
    <w:rsid w:val="00EB6ABD"/>
    <w:rsid w:val="00EC5305"/>
    <w:rsid w:val="00EC785A"/>
    <w:rsid w:val="00ED1657"/>
    <w:rsid w:val="00F60961"/>
    <w:rsid w:val="00F647C3"/>
    <w:rsid w:val="00F666A2"/>
    <w:rsid w:val="00F67536"/>
    <w:rsid w:val="00FF618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64541-CC81-417E-858F-5ABB7A9E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0C"/>
    <w:pPr>
      <w:ind w:left="720"/>
      <w:contextualSpacing/>
    </w:pPr>
  </w:style>
  <w:style w:type="paragraph" w:styleId="NormalWeb">
    <w:name w:val="Normal (Web)"/>
    <w:basedOn w:val="Normal"/>
    <w:uiPriority w:val="99"/>
    <w:unhideWhenUsed/>
    <w:rsid w:val="00EB6ABD"/>
    <w:pPr>
      <w:spacing w:before="100" w:beforeAutospacing="1" w:after="100" w:afterAutospacing="1"/>
    </w:pPr>
  </w:style>
  <w:style w:type="paragraph" w:styleId="Header">
    <w:name w:val="header"/>
    <w:basedOn w:val="Normal"/>
    <w:link w:val="HeaderChar"/>
    <w:rsid w:val="000A2397"/>
    <w:pPr>
      <w:tabs>
        <w:tab w:val="center" w:pos="4536"/>
        <w:tab w:val="right" w:pos="9072"/>
      </w:tabs>
    </w:pPr>
  </w:style>
  <w:style w:type="character" w:customStyle="1" w:styleId="HeaderChar">
    <w:name w:val="Header Char"/>
    <w:basedOn w:val="DefaultParagraphFont"/>
    <w:link w:val="Header"/>
    <w:rsid w:val="000A2397"/>
    <w:rPr>
      <w:sz w:val="24"/>
      <w:szCs w:val="24"/>
    </w:rPr>
  </w:style>
  <w:style w:type="paragraph" w:styleId="Footer">
    <w:name w:val="footer"/>
    <w:basedOn w:val="Normal"/>
    <w:link w:val="FooterChar"/>
    <w:rsid w:val="000A2397"/>
    <w:pPr>
      <w:tabs>
        <w:tab w:val="center" w:pos="4536"/>
        <w:tab w:val="right" w:pos="9072"/>
      </w:tabs>
    </w:pPr>
  </w:style>
  <w:style w:type="character" w:customStyle="1" w:styleId="FooterChar">
    <w:name w:val="Footer Char"/>
    <w:basedOn w:val="DefaultParagraphFont"/>
    <w:link w:val="Footer"/>
    <w:rsid w:val="000A2397"/>
    <w:rPr>
      <w:sz w:val="24"/>
      <w:szCs w:val="24"/>
    </w:rPr>
  </w:style>
  <w:style w:type="paragraph" w:styleId="BalloonText">
    <w:name w:val="Balloon Text"/>
    <w:basedOn w:val="Normal"/>
    <w:link w:val="BalloonTextChar"/>
    <w:rsid w:val="00F60961"/>
    <w:rPr>
      <w:rFonts w:ascii="Segoe UI" w:hAnsi="Segoe UI" w:cs="Segoe UI"/>
      <w:sz w:val="18"/>
      <w:szCs w:val="18"/>
    </w:rPr>
  </w:style>
  <w:style w:type="character" w:customStyle="1" w:styleId="BalloonTextChar">
    <w:name w:val="Balloon Text Char"/>
    <w:basedOn w:val="DefaultParagraphFont"/>
    <w:link w:val="BalloonText"/>
    <w:rsid w:val="00F60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7609">
      <w:bodyDiv w:val="1"/>
      <w:marLeft w:val="0"/>
      <w:marRight w:val="0"/>
      <w:marTop w:val="0"/>
      <w:marBottom w:val="0"/>
      <w:divBdr>
        <w:top w:val="none" w:sz="0" w:space="0" w:color="auto"/>
        <w:left w:val="none" w:sz="0" w:space="0" w:color="auto"/>
        <w:bottom w:val="none" w:sz="0" w:space="0" w:color="auto"/>
        <w:right w:val="none" w:sz="0" w:space="0" w:color="auto"/>
      </w:divBdr>
    </w:div>
    <w:div w:id="109713212">
      <w:bodyDiv w:val="1"/>
      <w:marLeft w:val="0"/>
      <w:marRight w:val="0"/>
      <w:marTop w:val="0"/>
      <w:marBottom w:val="0"/>
      <w:divBdr>
        <w:top w:val="none" w:sz="0" w:space="0" w:color="auto"/>
        <w:left w:val="none" w:sz="0" w:space="0" w:color="auto"/>
        <w:bottom w:val="none" w:sz="0" w:space="0" w:color="auto"/>
        <w:right w:val="none" w:sz="0" w:space="0" w:color="auto"/>
      </w:divBdr>
    </w:div>
    <w:div w:id="171378414">
      <w:bodyDiv w:val="1"/>
      <w:marLeft w:val="0"/>
      <w:marRight w:val="0"/>
      <w:marTop w:val="0"/>
      <w:marBottom w:val="0"/>
      <w:divBdr>
        <w:top w:val="none" w:sz="0" w:space="0" w:color="auto"/>
        <w:left w:val="none" w:sz="0" w:space="0" w:color="auto"/>
        <w:bottom w:val="none" w:sz="0" w:space="0" w:color="auto"/>
        <w:right w:val="none" w:sz="0" w:space="0" w:color="auto"/>
      </w:divBdr>
    </w:div>
    <w:div w:id="231232146">
      <w:bodyDiv w:val="1"/>
      <w:marLeft w:val="0"/>
      <w:marRight w:val="0"/>
      <w:marTop w:val="0"/>
      <w:marBottom w:val="0"/>
      <w:divBdr>
        <w:top w:val="none" w:sz="0" w:space="0" w:color="auto"/>
        <w:left w:val="none" w:sz="0" w:space="0" w:color="auto"/>
        <w:bottom w:val="none" w:sz="0" w:space="0" w:color="auto"/>
        <w:right w:val="none" w:sz="0" w:space="0" w:color="auto"/>
      </w:divBdr>
    </w:div>
    <w:div w:id="572663769">
      <w:bodyDiv w:val="1"/>
      <w:marLeft w:val="0"/>
      <w:marRight w:val="0"/>
      <w:marTop w:val="0"/>
      <w:marBottom w:val="0"/>
      <w:divBdr>
        <w:top w:val="none" w:sz="0" w:space="0" w:color="auto"/>
        <w:left w:val="none" w:sz="0" w:space="0" w:color="auto"/>
        <w:bottom w:val="none" w:sz="0" w:space="0" w:color="auto"/>
        <w:right w:val="none" w:sz="0" w:space="0" w:color="auto"/>
      </w:divBdr>
    </w:div>
    <w:div w:id="613949610">
      <w:bodyDiv w:val="1"/>
      <w:marLeft w:val="0"/>
      <w:marRight w:val="0"/>
      <w:marTop w:val="0"/>
      <w:marBottom w:val="0"/>
      <w:divBdr>
        <w:top w:val="none" w:sz="0" w:space="0" w:color="auto"/>
        <w:left w:val="none" w:sz="0" w:space="0" w:color="auto"/>
        <w:bottom w:val="none" w:sz="0" w:space="0" w:color="auto"/>
        <w:right w:val="none" w:sz="0" w:space="0" w:color="auto"/>
      </w:divBdr>
    </w:div>
    <w:div w:id="900751451">
      <w:bodyDiv w:val="1"/>
      <w:marLeft w:val="0"/>
      <w:marRight w:val="0"/>
      <w:marTop w:val="0"/>
      <w:marBottom w:val="0"/>
      <w:divBdr>
        <w:top w:val="none" w:sz="0" w:space="0" w:color="auto"/>
        <w:left w:val="none" w:sz="0" w:space="0" w:color="auto"/>
        <w:bottom w:val="none" w:sz="0" w:space="0" w:color="auto"/>
        <w:right w:val="none" w:sz="0" w:space="0" w:color="auto"/>
      </w:divBdr>
    </w:div>
    <w:div w:id="998730385">
      <w:bodyDiv w:val="1"/>
      <w:marLeft w:val="0"/>
      <w:marRight w:val="0"/>
      <w:marTop w:val="0"/>
      <w:marBottom w:val="0"/>
      <w:divBdr>
        <w:top w:val="none" w:sz="0" w:space="0" w:color="auto"/>
        <w:left w:val="none" w:sz="0" w:space="0" w:color="auto"/>
        <w:bottom w:val="none" w:sz="0" w:space="0" w:color="auto"/>
        <w:right w:val="none" w:sz="0" w:space="0" w:color="auto"/>
      </w:divBdr>
    </w:div>
    <w:div w:id="1104572967">
      <w:bodyDiv w:val="1"/>
      <w:marLeft w:val="0"/>
      <w:marRight w:val="0"/>
      <w:marTop w:val="0"/>
      <w:marBottom w:val="0"/>
      <w:divBdr>
        <w:top w:val="none" w:sz="0" w:space="0" w:color="auto"/>
        <w:left w:val="none" w:sz="0" w:space="0" w:color="auto"/>
        <w:bottom w:val="none" w:sz="0" w:space="0" w:color="auto"/>
        <w:right w:val="none" w:sz="0" w:space="0" w:color="auto"/>
      </w:divBdr>
    </w:div>
    <w:div w:id="1408841620">
      <w:bodyDiv w:val="1"/>
      <w:marLeft w:val="0"/>
      <w:marRight w:val="0"/>
      <w:marTop w:val="0"/>
      <w:marBottom w:val="0"/>
      <w:divBdr>
        <w:top w:val="none" w:sz="0" w:space="0" w:color="auto"/>
        <w:left w:val="none" w:sz="0" w:space="0" w:color="auto"/>
        <w:bottom w:val="none" w:sz="0" w:space="0" w:color="auto"/>
        <w:right w:val="none" w:sz="0" w:space="0" w:color="auto"/>
      </w:divBdr>
    </w:div>
    <w:div w:id="1464275652">
      <w:bodyDiv w:val="1"/>
      <w:marLeft w:val="0"/>
      <w:marRight w:val="0"/>
      <w:marTop w:val="0"/>
      <w:marBottom w:val="0"/>
      <w:divBdr>
        <w:top w:val="none" w:sz="0" w:space="0" w:color="auto"/>
        <w:left w:val="none" w:sz="0" w:space="0" w:color="auto"/>
        <w:bottom w:val="none" w:sz="0" w:space="0" w:color="auto"/>
        <w:right w:val="none" w:sz="0" w:space="0" w:color="auto"/>
      </w:divBdr>
    </w:div>
    <w:div w:id="1945112839">
      <w:bodyDiv w:val="1"/>
      <w:marLeft w:val="0"/>
      <w:marRight w:val="0"/>
      <w:marTop w:val="0"/>
      <w:marBottom w:val="0"/>
      <w:divBdr>
        <w:top w:val="none" w:sz="0" w:space="0" w:color="auto"/>
        <w:left w:val="none" w:sz="0" w:space="0" w:color="auto"/>
        <w:bottom w:val="none" w:sz="0" w:space="0" w:color="auto"/>
        <w:right w:val="none" w:sz="0" w:space="0" w:color="auto"/>
      </w:divBdr>
    </w:div>
    <w:div w:id="1979458416">
      <w:bodyDiv w:val="1"/>
      <w:marLeft w:val="0"/>
      <w:marRight w:val="0"/>
      <w:marTop w:val="0"/>
      <w:marBottom w:val="0"/>
      <w:divBdr>
        <w:top w:val="none" w:sz="0" w:space="0" w:color="auto"/>
        <w:left w:val="none" w:sz="0" w:space="0" w:color="auto"/>
        <w:bottom w:val="none" w:sz="0" w:space="0" w:color="auto"/>
        <w:right w:val="none" w:sz="0" w:space="0" w:color="auto"/>
      </w:divBdr>
    </w:div>
    <w:div w:id="2009941815">
      <w:bodyDiv w:val="1"/>
      <w:marLeft w:val="0"/>
      <w:marRight w:val="0"/>
      <w:marTop w:val="0"/>
      <w:marBottom w:val="0"/>
      <w:divBdr>
        <w:top w:val="none" w:sz="0" w:space="0" w:color="auto"/>
        <w:left w:val="none" w:sz="0" w:space="0" w:color="auto"/>
        <w:bottom w:val="none" w:sz="0" w:space="0" w:color="auto"/>
        <w:right w:val="none" w:sz="0" w:space="0" w:color="auto"/>
      </w:divBdr>
    </w:div>
    <w:div w:id="21086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8419</Characters>
  <Application>Microsoft Office Word</Application>
  <DocSecurity>0</DocSecurity>
  <Lines>70</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UEFA</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Adrian</dc:creator>
  <cp:keywords/>
  <dc:description/>
  <cp:lastModifiedBy>Perry Sefton</cp:lastModifiedBy>
  <cp:revision>2</cp:revision>
  <dcterms:created xsi:type="dcterms:W3CDTF">2017-01-11T08:40:00Z</dcterms:created>
  <dcterms:modified xsi:type="dcterms:W3CDTF">2017-01-11T08:40:00Z</dcterms:modified>
</cp:coreProperties>
</file>