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16B07" w14:textId="77777777" w:rsidR="003257AD" w:rsidRPr="0051432D" w:rsidRDefault="00161DB9" w:rsidP="000A2397">
      <w:pPr>
        <w:jc w:val="center"/>
        <w:rPr>
          <w:rFonts w:ascii="Segoe UI" w:hAnsi="Segoe UI" w:cs="Segoe UI"/>
          <w:b/>
          <w:sz w:val="22"/>
          <w:szCs w:val="22"/>
          <w:u w:val="single"/>
          <w:lang w:val="it-IT"/>
        </w:rPr>
      </w:pPr>
      <w:r w:rsidRPr="0051432D">
        <w:rPr>
          <w:rFonts w:ascii="Segoe UI" w:hAnsi="Segoe UI" w:cs="Segoe UI"/>
          <w:b/>
          <w:sz w:val="22"/>
          <w:szCs w:val="22"/>
          <w:u w:val="single"/>
          <w:lang w:val="it-IT"/>
        </w:rPr>
        <w:t>Tendenze</w:t>
      </w:r>
      <w:r w:rsidR="00C2725D" w:rsidRPr="0051432D">
        <w:rPr>
          <w:rFonts w:ascii="Segoe UI" w:hAnsi="Segoe UI" w:cs="Segoe UI"/>
          <w:b/>
          <w:sz w:val="22"/>
          <w:szCs w:val="22"/>
          <w:u w:val="single"/>
          <w:lang w:val="it-IT"/>
        </w:rPr>
        <w:t xml:space="preserve"> finanziari</w:t>
      </w:r>
      <w:r w:rsidRPr="0051432D">
        <w:rPr>
          <w:rFonts w:ascii="Segoe UI" w:hAnsi="Segoe UI" w:cs="Segoe UI"/>
          <w:b/>
          <w:sz w:val="22"/>
          <w:szCs w:val="22"/>
          <w:u w:val="single"/>
          <w:lang w:val="it-IT"/>
        </w:rPr>
        <w:t>e</w:t>
      </w:r>
      <w:r w:rsidR="00C2725D" w:rsidRPr="0051432D">
        <w:rPr>
          <w:rFonts w:ascii="Segoe UI" w:hAnsi="Segoe UI" w:cs="Segoe UI"/>
          <w:b/>
          <w:sz w:val="22"/>
          <w:szCs w:val="22"/>
          <w:u w:val="single"/>
          <w:lang w:val="it-IT"/>
        </w:rPr>
        <w:t xml:space="preserve"> </w:t>
      </w:r>
      <w:r w:rsidRPr="0051432D">
        <w:rPr>
          <w:rFonts w:ascii="Segoe UI" w:hAnsi="Segoe UI" w:cs="Segoe UI"/>
          <w:b/>
          <w:sz w:val="22"/>
          <w:szCs w:val="22"/>
          <w:u w:val="single"/>
          <w:lang w:val="it-IT"/>
        </w:rPr>
        <w:t>individuate</w:t>
      </w:r>
      <w:r w:rsidR="00B30EDD" w:rsidRPr="0051432D">
        <w:rPr>
          <w:rFonts w:ascii="Segoe UI" w:hAnsi="Segoe UI" w:cs="Segoe UI"/>
          <w:b/>
          <w:sz w:val="22"/>
          <w:szCs w:val="22"/>
          <w:u w:val="single"/>
          <w:lang w:val="it-IT"/>
        </w:rPr>
        <w:t xml:space="preserve"> e documentat</w:t>
      </w:r>
      <w:r w:rsidRPr="0051432D">
        <w:rPr>
          <w:rFonts w:ascii="Segoe UI" w:hAnsi="Segoe UI" w:cs="Segoe UI"/>
          <w:b/>
          <w:sz w:val="22"/>
          <w:szCs w:val="22"/>
          <w:u w:val="single"/>
          <w:lang w:val="it-IT"/>
        </w:rPr>
        <w:t>e</w:t>
      </w:r>
      <w:r w:rsidR="003257AD" w:rsidRPr="0051432D">
        <w:rPr>
          <w:rFonts w:ascii="Segoe UI" w:hAnsi="Segoe UI" w:cs="Segoe UI"/>
          <w:b/>
          <w:sz w:val="22"/>
          <w:szCs w:val="22"/>
          <w:u w:val="single"/>
          <w:lang w:val="it-IT"/>
        </w:rPr>
        <w:t xml:space="preserve"> nella relazione</w:t>
      </w:r>
    </w:p>
    <w:p w14:paraId="25C3C516" w14:textId="77777777" w:rsidR="006A2DE6" w:rsidRPr="0051432D" w:rsidRDefault="006A2DE6" w:rsidP="006A2DE6">
      <w:pPr>
        <w:rPr>
          <w:rFonts w:ascii="Segoe UI" w:hAnsi="Segoe UI" w:cs="Segoe UI"/>
          <w:b/>
          <w:sz w:val="22"/>
          <w:szCs w:val="22"/>
          <w:lang w:val="it-IT"/>
        </w:rPr>
      </w:pPr>
    </w:p>
    <w:p w14:paraId="3FC965B4" w14:textId="0DA11042" w:rsidR="008F34A2" w:rsidRPr="0051432D" w:rsidRDefault="000E1001" w:rsidP="008F34A2">
      <w:pPr>
        <w:pStyle w:val="ListParagraph"/>
        <w:numPr>
          <w:ilvl w:val="0"/>
          <w:numId w:val="2"/>
        </w:numPr>
        <w:rPr>
          <w:rFonts w:ascii="Segoe UI" w:hAnsi="Segoe UI" w:cs="Segoe UI"/>
          <w:b/>
          <w:sz w:val="22"/>
          <w:szCs w:val="22"/>
          <w:lang w:val="it-IT"/>
        </w:rPr>
      </w:pPr>
      <w:r>
        <w:rPr>
          <w:rFonts w:ascii="Segoe UI" w:hAnsi="Segoe UI" w:cs="Segoe UI"/>
          <w:b/>
          <w:sz w:val="22"/>
          <w:szCs w:val="22"/>
          <w:lang w:val="it-IT"/>
        </w:rPr>
        <w:t>La presente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3257AD" w:rsidRPr="0051432D">
        <w:rPr>
          <w:rFonts w:ascii="Segoe UI" w:hAnsi="Segoe UI" w:cs="Segoe UI"/>
          <w:b/>
          <w:sz w:val="22"/>
          <w:szCs w:val="22"/>
          <w:lang w:val="it-IT"/>
        </w:rPr>
        <w:t xml:space="preserve">relazione mostra </w:t>
      </w:r>
      <w:r w:rsidR="00C2725D" w:rsidRPr="0051432D">
        <w:rPr>
          <w:rFonts w:ascii="Segoe UI" w:hAnsi="Segoe UI" w:cs="Segoe UI"/>
          <w:b/>
          <w:sz w:val="22"/>
          <w:szCs w:val="22"/>
          <w:lang w:val="it-IT"/>
        </w:rPr>
        <w:t>enormi riduzioni d</w:t>
      </w:r>
      <w:r w:rsidR="003257AD" w:rsidRPr="0051432D">
        <w:rPr>
          <w:rFonts w:ascii="Segoe UI" w:hAnsi="Segoe UI" w:cs="Segoe UI"/>
          <w:b/>
          <w:sz w:val="22"/>
          <w:szCs w:val="22"/>
          <w:lang w:val="it-IT"/>
        </w:rPr>
        <w:t>elle perdite</w:t>
      </w:r>
      <w:r w:rsidR="00C2725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921228">
        <w:rPr>
          <w:rFonts w:ascii="Segoe UI" w:hAnsi="Segoe UI" w:cs="Segoe UI"/>
          <w:b/>
          <w:sz w:val="22"/>
          <w:szCs w:val="22"/>
          <w:lang w:val="it-IT"/>
        </w:rPr>
        <w:t>in seguito all’</w:t>
      </w:r>
      <w:r w:rsidR="00100D02" w:rsidRPr="0051432D">
        <w:rPr>
          <w:rFonts w:ascii="Segoe UI" w:hAnsi="Segoe UI" w:cs="Segoe UI"/>
          <w:b/>
          <w:sz w:val="22"/>
          <w:szCs w:val="22"/>
          <w:lang w:val="it-IT"/>
        </w:rPr>
        <w:t>introduzione del fair play;</w:t>
      </w:r>
      <w:r w:rsidR="003257A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investimenti record </w:t>
      </w:r>
      <w:r w:rsidR="00C2725D" w:rsidRPr="0051432D">
        <w:rPr>
          <w:rFonts w:ascii="Segoe UI" w:hAnsi="Segoe UI" w:cs="Segoe UI"/>
          <w:b/>
          <w:sz w:val="22"/>
          <w:szCs w:val="22"/>
          <w:lang w:val="it-IT"/>
        </w:rPr>
        <w:t xml:space="preserve">di capitali </w:t>
      </w:r>
      <w:r w:rsidR="00CD7148" w:rsidRPr="0051432D">
        <w:rPr>
          <w:rFonts w:ascii="Segoe UI" w:hAnsi="Segoe UI" w:cs="Segoe UI"/>
          <w:b/>
          <w:sz w:val="22"/>
          <w:szCs w:val="22"/>
          <w:lang w:val="it-IT"/>
        </w:rPr>
        <w:t>e</w:t>
      </w:r>
      <w:r w:rsidR="00C2725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921228">
        <w:rPr>
          <w:rFonts w:ascii="Segoe UI" w:hAnsi="Segoe UI" w:cs="Segoe UI"/>
          <w:b/>
          <w:sz w:val="22"/>
          <w:szCs w:val="22"/>
          <w:lang w:val="it-IT"/>
        </w:rPr>
        <w:t>per gli stadi</w:t>
      </w:r>
      <w:r w:rsidR="00C2725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100D02" w:rsidRPr="0051432D">
        <w:rPr>
          <w:rFonts w:ascii="Segoe UI" w:hAnsi="Segoe UI" w:cs="Segoe UI"/>
          <w:b/>
          <w:sz w:val="22"/>
          <w:szCs w:val="22"/>
          <w:lang w:val="it-IT"/>
        </w:rPr>
        <w:t>da parte dei club;</w:t>
      </w:r>
      <w:r w:rsidR="003257A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CD7148" w:rsidRPr="0051432D">
        <w:rPr>
          <w:rFonts w:ascii="Segoe UI" w:hAnsi="Segoe UI" w:cs="Segoe UI"/>
          <w:b/>
          <w:sz w:val="22"/>
          <w:szCs w:val="22"/>
          <w:lang w:val="it-IT"/>
        </w:rPr>
        <w:t>aumento de</w:t>
      </w:r>
      <w:r w:rsidR="003257AD" w:rsidRPr="0051432D">
        <w:rPr>
          <w:rFonts w:ascii="Segoe UI" w:hAnsi="Segoe UI" w:cs="Segoe UI"/>
          <w:b/>
          <w:sz w:val="22"/>
          <w:szCs w:val="22"/>
          <w:lang w:val="it-IT"/>
        </w:rPr>
        <w:t xml:space="preserve">i </w:t>
      </w:r>
      <w:r w:rsidR="00CD7148" w:rsidRPr="0051432D">
        <w:rPr>
          <w:rFonts w:ascii="Segoe UI" w:hAnsi="Segoe UI" w:cs="Segoe UI"/>
          <w:b/>
          <w:sz w:val="22"/>
          <w:szCs w:val="22"/>
          <w:lang w:val="it-IT"/>
        </w:rPr>
        <w:t>ricav</w:t>
      </w:r>
      <w:r w:rsidR="003913A9">
        <w:rPr>
          <w:rFonts w:ascii="Segoe UI" w:hAnsi="Segoe UI" w:cs="Segoe UI"/>
          <w:b/>
          <w:sz w:val="22"/>
          <w:szCs w:val="22"/>
          <w:lang w:val="it-IT"/>
        </w:rPr>
        <w:t>i</w:t>
      </w:r>
      <w:r w:rsidR="003257A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dei club</w:t>
      </w:r>
      <w:r w:rsidR="00C1229E">
        <w:rPr>
          <w:rFonts w:ascii="Segoe UI" w:hAnsi="Segoe UI" w:cs="Segoe UI"/>
          <w:b/>
          <w:sz w:val="22"/>
          <w:szCs w:val="22"/>
          <w:lang w:val="it-IT"/>
        </w:rPr>
        <w:t xml:space="preserve"> anno dopo anno</w:t>
      </w:r>
      <w:r w:rsidR="003257AD" w:rsidRPr="0051432D">
        <w:rPr>
          <w:rFonts w:ascii="Segoe UI" w:hAnsi="Segoe UI" w:cs="Segoe UI"/>
          <w:b/>
          <w:sz w:val="22"/>
          <w:szCs w:val="22"/>
          <w:lang w:val="it-IT"/>
        </w:rPr>
        <w:t>.</w:t>
      </w:r>
    </w:p>
    <w:p w14:paraId="01909D1C" w14:textId="77777777" w:rsidR="003257AD" w:rsidRPr="0051432D" w:rsidRDefault="003257AD" w:rsidP="003257AD">
      <w:pPr>
        <w:pStyle w:val="ListParagraph"/>
        <w:rPr>
          <w:rFonts w:ascii="Segoe UI" w:hAnsi="Segoe UI" w:cs="Segoe UI"/>
          <w:sz w:val="22"/>
          <w:szCs w:val="22"/>
          <w:lang w:val="it-IT"/>
        </w:rPr>
      </w:pPr>
    </w:p>
    <w:p w14:paraId="23E7EE33" w14:textId="6ECE330D" w:rsidR="003257AD" w:rsidRPr="0051432D" w:rsidRDefault="003257AD" w:rsidP="008F34A2">
      <w:pPr>
        <w:pStyle w:val="ListParagraph"/>
        <w:numPr>
          <w:ilvl w:val="0"/>
          <w:numId w:val="2"/>
        </w:numPr>
        <w:rPr>
          <w:rFonts w:ascii="Segoe UI" w:hAnsi="Segoe UI" w:cs="Segoe UI"/>
          <w:b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>Inoltre</w:t>
      </w:r>
      <w:r w:rsidR="0099526E" w:rsidRPr="0051432D">
        <w:rPr>
          <w:rFonts w:ascii="Segoe UI" w:hAnsi="Segoe UI" w:cs="Segoe UI"/>
          <w:sz w:val="22"/>
          <w:szCs w:val="22"/>
          <w:lang w:val="it-IT"/>
        </w:rPr>
        <w:t>,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questa relazione prova</w:t>
      </w:r>
      <w:r w:rsidR="00C1229E">
        <w:rPr>
          <w:rFonts w:ascii="Segoe UI" w:hAnsi="Segoe UI" w:cs="Segoe UI"/>
          <w:sz w:val="22"/>
          <w:szCs w:val="22"/>
          <w:lang w:val="it-IT"/>
        </w:rPr>
        <w:t>,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C1229E" w:rsidRPr="0051432D">
        <w:rPr>
          <w:rFonts w:ascii="Segoe UI" w:hAnsi="Segoe UI" w:cs="Segoe UI"/>
          <w:sz w:val="22"/>
          <w:szCs w:val="22"/>
          <w:lang w:val="it-IT"/>
        </w:rPr>
        <w:t>di là da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ogni dubbio</w:t>
      </w:r>
      <w:r w:rsidR="00C1229E">
        <w:rPr>
          <w:rFonts w:ascii="Segoe UI" w:hAnsi="Segoe UI" w:cs="Segoe UI"/>
          <w:sz w:val="22"/>
          <w:szCs w:val="22"/>
          <w:lang w:val="it-IT"/>
        </w:rPr>
        <w:t>,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che il fair play finanziario ha rivoluzionato </w:t>
      </w:r>
      <w:r w:rsidR="00C858B7" w:rsidRPr="008D171E">
        <w:rPr>
          <w:rFonts w:ascii="Segoe UI" w:hAnsi="Segoe UI" w:cs="Segoe UI"/>
          <w:sz w:val="22"/>
          <w:szCs w:val="22"/>
          <w:lang w:val="it-IT"/>
        </w:rPr>
        <w:t>la</w:t>
      </w:r>
      <w:r w:rsidRPr="008D171E">
        <w:rPr>
          <w:rFonts w:ascii="Segoe UI" w:hAnsi="Segoe UI" w:cs="Segoe UI"/>
          <w:sz w:val="22"/>
          <w:szCs w:val="22"/>
          <w:lang w:val="it-IT"/>
        </w:rPr>
        <w:t xml:space="preserve"> finanz</w:t>
      </w:r>
      <w:r w:rsidR="00BB61EA" w:rsidRPr="008D171E">
        <w:rPr>
          <w:rFonts w:ascii="Segoe UI" w:hAnsi="Segoe UI" w:cs="Segoe UI"/>
          <w:sz w:val="22"/>
          <w:szCs w:val="22"/>
          <w:lang w:val="it-IT"/>
        </w:rPr>
        <w:t>a</w:t>
      </w:r>
      <w:r w:rsidRPr="008D171E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BB61EA" w:rsidRPr="008D171E">
        <w:rPr>
          <w:rFonts w:ascii="Segoe UI" w:hAnsi="Segoe UI" w:cs="Segoe UI"/>
          <w:sz w:val="22"/>
          <w:szCs w:val="22"/>
          <w:lang w:val="it-IT"/>
        </w:rPr>
        <w:t>n</w:t>
      </w:r>
      <w:r w:rsidRPr="008D171E">
        <w:rPr>
          <w:rFonts w:ascii="Segoe UI" w:hAnsi="Segoe UI" w:cs="Segoe UI"/>
          <w:sz w:val="22"/>
          <w:szCs w:val="22"/>
          <w:lang w:val="it-IT"/>
        </w:rPr>
        <w:t>el calcio –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3913A9">
        <w:rPr>
          <w:rFonts w:ascii="Segoe UI" w:hAnsi="Segoe UI" w:cs="Segoe UI"/>
          <w:b/>
          <w:sz w:val="22"/>
          <w:szCs w:val="22"/>
          <w:lang w:val="it-IT"/>
        </w:rPr>
        <w:t>gli utili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 operativi </w:t>
      </w:r>
      <w:r w:rsidR="00C2725D" w:rsidRPr="0051432D">
        <w:rPr>
          <w:rFonts w:ascii="Segoe UI" w:hAnsi="Segoe UI" w:cs="Segoe UI"/>
          <w:b/>
          <w:sz w:val="22"/>
          <w:szCs w:val="22"/>
          <w:lang w:val="it-IT"/>
        </w:rPr>
        <w:t>totali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161DB9" w:rsidRPr="0051432D">
        <w:rPr>
          <w:rFonts w:ascii="Segoe UI" w:hAnsi="Segoe UI" w:cs="Segoe UI"/>
          <w:b/>
          <w:sz w:val="22"/>
          <w:szCs w:val="22"/>
          <w:lang w:val="it-IT"/>
        </w:rPr>
        <w:t>hanno raggiunto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CD7148" w:rsidRPr="0051432D">
        <w:rPr>
          <w:rFonts w:ascii="Segoe UI" w:hAnsi="Segoe UI" w:cs="Segoe UI"/>
          <w:b/>
          <w:sz w:val="22"/>
          <w:szCs w:val="22"/>
          <w:lang w:val="it-IT"/>
        </w:rPr>
        <w:t xml:space="preserve">la cifra di 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>1,5 miliard</w:t>
      </w:r>
      <w:r w:rsidR="00C2725D" w:rsidRPr="0051432D">
        <w:rPr>
          <w:rFonts w:ascii="Segoe UI" w:hAnsi="Segoe UI" w:cs="Segoe UI"/>
          <w:b/>
          <w:sz w:val="22"/>
          <w:szCs w:val="22"/>
          <w:lang w:val="it-IT"/>
        </w:rPr>
        <w:t xml:space="preserve">i di euro negli ultimi due anni, </w:t>
      </w:r>
      <w:r w:rsidR="00CD7148" w:rsidRPr="0051432D">
        <w:rPr>
          <w:rFonts w:ascii="Segoe UI" w:hAnsi="Segoe UI" w:cs="Segoe UI"/>
          <w:b/>
          <w:sz w:val="22"/>
          <w:szCs w:val="22"/>
          <w:lang w:val="it-IT"/>
        </w:rPr>
        <w:t>a fronte de</w:t>
      </w:r>
      <w:r w:rsidR="00100D02" w:rsidRPr="0051432D">
        <w:rPr>
          <w:rFonts w:ascii="Segoe UI" w:hAnsi="Segoe UI" w:cs="Segoe UI"/>
          <w:b/>
          <w:sz w:val="22"/>
          <w:szCs w:val="22"/>
          <w:lang w:val="it-IT"/>
        </w:rPr>
        <w:t>lla perdita d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>i 700 milioni di euro</w:t>
      </w:r>
      <w:r w:rsidR="00100D02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0E1001">
        <w:rPr>
          <w:rFonts w:ascii="Segoe UI" w:hAnsi="Segoe UI" w:cs="Segoe UI"/>
          <w:b/>
          <w:sz w:val="22"/>
          <w:szCs w:val="22"/>
          <w:lang w:val="it-IT"/>
        </w:rPr>
        <w:t xml:space="preserve">verificatasi 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>nei due anni immediatamente precedenti all’introduzi</w:t>
      </w:r>
      <w:r w:rsidR="00B30EDD" w:rsidRPr="0051432D">
        <w:rPr>
          <w:rFonts w:ascii="Segoe UI" w:hAnsi="Segoe UI" w:cs="Segoe UI"/>
          <w:b/>
          <w:sz w:val="22"/>
          <w:szCs w:val="22"/>
          <w:lang w:val="it-IT"/>
        </w:rPr>
        <w:t>one del</w:t>
      </w:r>
      <w:r w:rsidR="000E1001">
        <w:rPr>
          <w:rFonts w:ascii="Segoe UI" w:hAnsi="Segoe UI" w:cs="Segoe UI"/>
          <w:b/>
          <w:sz w:val="22"/>
          <w:szCs w:val="22"/>
          <w:lang w:val="it-IT"/>
        </w:rPr>
        <w:t xml:space="preserve"> requisito </w:t>
      </w:r>
      <w:r w:rsidR="00B30EDD" w:rsidRPr="0051432D">
        <w:rPr>
          <w:rFonts w:ascii="Segoe UI" w:hAnsi="Segoe UI" w:cs="Segoe UI"/>
          <w:b/>
          <w:sz w:val="22"/>
          <w:szCs w:val="22"/>
          <w:lang w:val="it-IT"/>
        </w:rPr>
        <w:t>d</w:t>
      </w:r>
      <w:r w:rsidR="000E1001">
        <w:rPr>
          <w:rFonts w:ascii="Segoe UI" w:hAnsi="Segoe UI" w:cs="Segoe UI"/>
          <w:b/>
          <w:sz w:val="22"/>
          <w:szCs w:val="22"/>
          <w:lang w:val="it-IT"/>
        </w:rPr>
        <w:t>el</w:t>
      </w:r>
      <w:r w:rsidR="00B30ED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pareggio di bilancio.</w:t>
      </w:r>
    </w:p>
    <w:p w14:paraId="24E7EFC7" w14:textId="77777777" w:rsidR="003257AD" w:rsidRPr="0051432D" w:rsidRDefault="003257AD" w:rsidP="009E6C03">
      <w:pPr>
        <w:rPr>
          <w:rFonts w:ascii="Segoe UI" w:hAnsi="Segoe UI" w:cs="Segoe UI"/>
          <w:sz w:val="22"/>
          <w:szCs w:val="22"/>
          <w:lang w:val="it-IT"/>
        </w:rPr>
      </w:pPr>
    </w:p>
    <w:p w14:paraId="70E66042" w14:textId="1D90646E" w:rsidR="008F34A2" w:rsidRPr="0051432D" w:rsidRDefault="00CD7148" w:rsidP="008F34A2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>I</w:t>
      </w:r>
      <w:r w:rsidR="003257AD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sz w:val="22"/>
          <w:szCs w:val="22"/>
          <w:lang w:val="it-IT"/>
        </w:rPr>
        <w:t>ricavi</w:t>
      </w:r>
      <w:r w:rsidR="003257AD" w:rsidRPr="0051432D">
        <w:rPr>
          <w:rFonts w:ascii="Segoe UI" w:hAnsi="Segoe UI" w:cs="Segoe UI"/>
          <w:sz w:val="22"/>
          <w:szCs w:val="22"/>
          <w:lang w:val="it-IT"/>
        </w:rPr>
        <w:t xml:space="preserve"> dei club di calcio </w:t>
      </w:r>
      <w:r w:rsidR="003913A9">
        <w:rPr>
          <w:rFonts w:ascii="Segoe UI" w:hAnsi="Segoe UI" w:cs="Segoe UI"/>
          <w:sz w:val="22"/>
          <w:szCs w:val="22"/>
          <w:lang w:val="it-IT"/>
        </w:rPr>
        <w:t xml:space="preserve">sono </w:t>
      </w:r>
      <w:r w:rsidR="003257AD" w:rsidRPr="0051432D">
        <w:rPr>
          <w:rFonts w:ascii="Segoe UI" w:hAnsi="Segoe UI" w:cs="Segoe UI"/>
          <w:sz w:val="22"/>
          <w:szCs w:val="22"/>
          <w:lang w:val="it-IT"/>
        </w:rPr>
        <w:t xml:space="preserve">in aumento </w:t>
      </w:r>
      <w:r w:rsidRPr="0051432D">
        <w:rPr>
          <w:rFonts w:ascii="Segoe UI" w:hAnsi="Segoe UI" w:cs="Segoe UI"/>
          <w:sz w:val="22"/>
          <w:szCs w:val="22"/>
          <w:lang w:val="it-IT"/>
        </w:rPr>
        <w:t>da</w:t>
      </w:r>
      <w:r w:rsidR="003257AD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3913A9" w:rsidRPr="0051432D">
        <w:rPr>
          <w:rFonts w:ascii="Segoe UI" w:hAnsi="Segoe UI" w:cs="Segoe UI"/>
          <w:sz w:val="22"/>
          <w:szCs w:val="22"/>
          <w:lang w:val="it-IT"/>
        </w:rPr>
        <w:t>venti</w:t>
      </w:r>
      <w:r w:rsidR="003257AD" w:rsidRPr="0051432D">
        <w:rPr>
          <w:rFonts w:ascii="Segoe UI" w:hAnsi="Segoe UI" w:cs="Segoe UI"/>
          <w:sz w:val="22"/>
          <w:szCs w:val="22"/>
          <w:lang w:val="it-IT"/>
        </w:rPr>
        <w:t xml:space="preserve"> anni consecutivi, raggiungendo </w:t>
      </w:r>
      <w:r w:rsidR="00361617" w:rsidRPr="0051432D">
        <w:rPr>
          <w:rFonts w:ascii="Segoe UI" w:hAnsi="Segoe UI" w:cs="Segoe UI"/>
          <w:sz w:val="22"/>
          <w:szCs w:val="22"/>
          <w:lang w:val="it-IT"/>
        </w:rPr>
        <w:t>attualmente</w:t>
      </w:r>
      <w:r w:rsidR="003257AD" w:rsidRPr="0051432D">
        <w:rPr>
          <w:rFonts w:ascii="Segoe UI" w:hAnsi="Segoe UI" w:cs="Segoe UI"/>
          <w:sz w:val="22"/>
          <w:szCs w:val="22"/>
          <w:lang w:val="it-IT"/>
        </w:rPr>
        <w:t xml:space="preserve"> quasi </w:t>
      </w:r>
      <w:r w:rsidR="003257AD" w:rsidRPr="0051432D">
        <w:rPr>
          <w:rFonts w:ascii="Segoe UI" w:hAnsi="Segoe UI" w:cs="Segoe UI"/>
          <w:b/>
          <w:sz w:val="22"/>
          <w:szCs w:val="22"/>
          <w:lang w:val="it-IT"/>
        </w:rPr>
        <w:t>17 miliardi di euro</w:t>
      </w:r>
      <w:r w:rsidR="003257AD" w:rsidRPr="0051432D">
        <w:rPr>
          <w:rFonts w:ascii="Segoe UI" w:hAnsi="Segoe UI" w:cs="Segoe UI"/>
          <w:sz w:val="22"/>
          <w:szCs w:val="22"/>
          <w:lang w:val="it-IT"/>
        </w:rPr>
        <w:t xml:space="preserve"> per i club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delle maggiori </w:t>
      </w:r>
      <w:r w:rsidR="003913A9">
        <w:rPr>
          <w:rFonts w:ascii="Segoe UI" w:hAnsi="Segoe UI" w:cs="Segoe UI"/>
          <w:sz w:val="22"/>
          <w:szCs w:val="22"/>
          <w:lang w:val="it-IT"/>
        </w:rPr>
        <w:t>serie</w:t>
      </w:r>
      <w:r w:rsidR="003913A9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3257AD" w:rsidRPr="0051432D">
        <w:rPr>
          <w:rFonts w:ascii="Segoe UI" w:hAnsi="Segoe UI" w:cs="Segoe UI"/>
          <w:sz w:val="22"/>
          <w:szCs w:val="22"/>
          <w:lang w:val="it-IT"/>
        </w:rPr>
        <w:t>europe</w:t>
      </w:r>
      <w:r w:rsidRPr="0051432D">
        <w:rPr>
          <w:rFonts w:ascii="Segoe UI" w:hAnsi="Segoe UI" w:cs="Segoe UI"/>
          <w:sz w:val="22"/>
          <w:szCs w:val="22"/>
          <w:lang w:val="it-IT"/>
        </w:rPr>
        <w:t>e</w:t>
      </w:r>
      <w:r w:rsidR="00361617" w:rsidRPr="0051432D">
        <w:rPr>
          <w:rFonts w:ascii="Segoe UI" w:hAnsi="Segoe UI" w:cs="Segoe UI"/>
          <w:sz w:val="22"/>
          <w:szCs w:val="22"/>
          <w:lang w:val="it-IT"/>
        </w:rPr>
        <w:t>.</w:t>
      </w:r>
    </w:p>
    <w:p w14:paraId="31B60DC4" w14:textId="58FE1A98" w:rsidR="003257AD" w:rsidRPr="0051432D" w:rsidRDefault="00CD7148" w:rsidP="008F34A2">
      <w:pPr>
        <w:pStyle w:val="ListParagraph"/>
        <w:numPr>
          <w:ilvl w:val="1"/>
          <w:numId w:val="2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>I ricavi</w:t>
      </w:r>
      <w:r w:rsidR="003257AD" w:rsidRPr="0051432D">
        <w:rPr>
          <w:rFonts w:ascii="Segoe UI" w:hAnsi="Segoe UI" w:cs="Segoe UI"/>
          <w:sz w:val="22"/>
          <w:szCs w:val="22"/>
          <w:lang w:val="it-IT"/>
        </w:rPr>
        <w:t xml:space="preserve"> dei club sono attualmente più che raddoppiati rispetto al 2004 e quasi </w:t>
      </w:r>
      <w:r w:rsidR="00361617" w:rsidRPr="0051432D">
        <w:rPr>
          <w:rFonts w:ascii="Segoe UI" w:hAnsi="Segoe UI" w:cs="Segoe UI"/>
          <w:sz w:val="22"/>
          <w:szCs w:val="22"/>
          <w:lang w:val="it-IT"/>
        </w:rPr>
        <w:t>sestuplicati rispetto a</w:t>
      </w:r>
      <w:r w:rsidR="003257AD" w:rsidRPr="0051432D">
        <w:rPr>
          <w:rFonts w:ascii="Segoe UI" w:hAnsi="Segoe UI" w:cs="Segoe UI"/>
          <w:sz w:val="22"/>
          <w:szCs w:val="22"/>
          <w:lang w:val="it-IT"/>
        </w:rPr>
        <w:t>l 1996.</w:t>
      </w:r>
    </w:p>
    <w:p w14:paraId="609AFF36" w14:textId="47699246" w:rsidR="003257AD" w:rsidRPr="0051432D" w:rsidRDefault="003257AD" w:rsidP="008F34A2">
      <w:pPr>
        <w:pStyle w:val="ListParagraph"/>
        <w:numPr>
          <w:ilvl w:val="1"/>
          <w:numId w:val="2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 xml:space="preserve">Negli ultimi </w:t>
      </w:r>
      <w:r w:rsidR="003913A9">
        <w:rPr>
          <w:rFonts w:ascii="Segoe UI" w:hAnsi="Segoe UI" w:cs="Segoe UI"/>
          <w:sz w:val="22"/>
          <w:szCs w:val="22"/>
          <w:lang w:val="it-IT"/>
        </w:rPr>
        <w:t>venti</w:t>
      </w:r>
      <w:r w:rsidR="005C5B4D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anni </w:t>
      </w:r>
      <w:r w:rsidR="00CD7148" w:rsidRPr="0051432D">
        <w:rPr>
          <w:rFonts w:ascii="Segoe UI" w:hAnsi="Segoe UI" w:cs="Segoe UI"/>
          <w:sz w:val="22"/>
          <w:szCs w:val="22"/>
          <w:lang w:val="it-IT"/>
        </w:rPr>
        <w:t>i ricavi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dei club europei sono </w:t>
      </w:r>
      <w:r w:rsidR="00361617" w:rsidRPr="0051432D">
        <w:rPr>
          <w:rFonts w:ascii="Segoe UI" w:hAnsi="Segoe UI" w:cs="Segoe UI"/>
          <w:sz w:val="22"/>
          <w:szCs w:val="22"/>
          <w:lang w:val="it-IT"/>
        </w:rPr>
        <w:t>aumentati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ogni anno</w:t>
      </w:r>
      <w:r w:rsidR="00361617" w:rsidRPr="0051432D">
        <w:rPr>
          <w:rFonts w:ascii="Segoe UI" w:hAnsi="Segoe UI" w:cs="Segoe UI"/>
          <w:sz w:val="22"/>
          <w:szCs w:val="22"/>
          <w:lang w:val="it-IT"/>
        </w:rPr>
        <w:t>,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con un tasso medio di crescita del 9,3%.</w:t>
      </w:r>
    </w:p>
    <w:p w14:paraId="162781AC" w14:textId="18B7211B" w:rsidR="00071948" w:rsidRPr="008D171E" w:rsidRDefault="00704B41" w:rsidP="008F34A2">
      <w:pPr>
        <w:pStyle w:val="ListParagraph"/>
        <w:numPr>
          <w:ilvl w:val="1"/>
          <w:numId w:val="2"/>
        </w:numPr>
        <w:rPr>
          <w:rFonts w:ascii="Segoe UI" w:hAnsi="Segoe UI" w:cs="Segoe UI"/>
          <w:sz w:val="22"/>
          <w:szCs w:val="22"/>
          <w:lang w:val="it-IT"/>
        </w:rPr>
      </w:pPr>
      <w:r w:rsidRPr="008D171E">
        <w:rPr>
          <w:rFonts w:ascii="Segoe UI" w:hAnsi="Segoe UI" w:cs="Segoe UI"/>
          <w:sz w:val="22"/>
          <w:szCs w:val="22"/>
          <w:lang w:val="it-IT"/>
        </w:rPr>
        <w:t xml:space="preserve">Il raggiungimento di questo livello e della consistenza della </w:t>
      </w:r>
      <w:r w:rsidR="00071948" w:rsidRPr="008D171E">
        <w:rPr>
          <w:rFonts w:ascii="Segoe UI" w:hAnsi="Segoe UI" w:cs="Segoe UI"/>
          <w:sz w:val="22"/>
          <w:szCs w:val="22"/>
          <w:lang w:val="it-IT"/>
        </w:rPr>
        <w:t>crescita</w:t>
      </w:r>
      <w:r w:rsidR="00361617" w:rsidRPr="008D171E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8D171E">
        <w:rPr>
          <w:rFonts w:ascii="Segoe UI" w:hAnsi="Segoe UI" w:cs="Segoe UI"/>
          <w:sz w:val="22"/>
          <w:szCs w:val="22"/>
          <w:lang w:val="it-IT"/>
        </w:rPr>
        <w:t>a lungo termine</w:t>
      </w:r>
      <w:r w:rsidR="00071948" w:rsidRPr="008D171E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361617" w:rsidRPr="008D171E">
        <w:rPr>
          <w:rFonts w:ascii="Segoe UI" w:hAnsi="Segoe UI" w:cs="Segoe UI"/>
          <w:sz w:val="22"/>
          <w:szCs w:val="22"/>
          <w:lang w:val="it-IT"/>
        </w:rPr>
        <w:t>costituiscono dati straordinari</w:t>
      </w:r>
      <w:r w:rsidR="00071948" w:rsidRPr="008D171E">
        <w:rPr>
          <w:rFonts w:ascii="Segoe UI" w:hAnsi="Segoe UI" w:cs="Segoe UI"/>
          <w:sz w:val="22"/>
          <w:szCs w:val="22"/>
          <w:lang w:val="it-IT"/>
        </w:rPr>
        <w:t xml:space="preserve">, specialmente </w:t>
      </w:r>
      <w:r w:rsidR="00161DB9" w:rsidRPr="008D171E">
        <w:rPr>
          <w:rFonts w:ascii="Segoe UI" w:hAnsi="Segoe UI" w:cs="Segoe UI"/>
          <w:sz w:val="22"/>
          <w:szCs w:val="22"/>
          <w:lang w:val="it-IT"/>
        </w:rPr>
        <w:t>considerando</w:t>
      </w:r>
      <w:r w:rsidR="00071948" w:rsidRPr="008D171E">
        <w:rPr>
          <w:rFonts w:ascii="Segoe UI" w:hAnsi="Segoe UI" w:cs="Segoe UI"/>
          <w:sz w:val="22"/>
          <w:szCs w:val="22"/>
          <w:lang w:val="it-IT"/>
        </w:rPr>
        <w:t xml:space="preserve"> che si tratta di un’attività </w:t>
      </w:r>
      <w:r w:rsidR="00161DB9" w:rsidRPr="008D171E">
        <w:rPr>
          <w:rFonts w:ascii="Segoe UI" w:hAnsi="Segoe UI" w:cs="Segoe UI"/>
          <w:sz w:val="22"/>
          <w:szCs w:val="22"/>
          <w:lang w:val="it-IT"/>
        </w:rPr>
        <w:t xml:space="preserve">di lunga data, </w:t>
      </w:r>
      <w:r w:rsidRPr="008D171E">
        <w:rPr>
          <w:rFonts w:ascii="Segoe UI" w:hAnsi="Segoe UI" w:cs="Segoe UI"/>
          <w:sz w:val="22"/>
          <w:szCs w:val="22"/>
          <w:lang w:val="it-IT"/>
        </w:rPr>
        <w:t>con alcuni</w:t>
      </w:r>
      <w:r w:rsidR="00071948" w:rsidRPr="008D171E">
        <w:rPr>
          <w:rFonts w:ascii="Segoe UI" w:hAnsi="Segoe UI" w:cs="Segoe UI"/>
          <w:sz w:val="22"/>
          <w:szCs w:val="22"/>
          <w:lang w:val="it-IT"/>
        </w:rPr>
        <w:t xml:space="preserve"> campionati </w:t>
      </w:r>
      <w:r w:rsidRPr="008D171E">
        <w:rPr>
          <w:rFonts w:ascii="Segoe UI" w:hAnsi="Segoe UI" w:cs="Segoe UI"/>
          <w:sz w:val="22"/>
          <w:szCs w:val="22"/>
          <w:lang w:val="it-IT"/>
        </w:rPr>
        <w:t xml:space="preserve">che </w:t>
      </w:r>
      <w:r w:rsidR="00471F43" w:rsidRPr="008D171E">
        <w:rPr>
          <w:rFonts w:ascii="Segoe UI" w:hAnsi="Segoe UI" w:cs="Segoe UI"/>
          <w:sz w:val="22"/>
          <w:szCs w:val="22"/>
          <w:lang w:val="it-IT"/>
        </w:rPr>
        <w:t xml:space="preserve">esistono </w:t>
      </w:r>
      <w:r w:rsidR="00CD7148" w:rsidRPr="008D171E">
        <w:rPr>
          <w:rFonts w:ascii="Segoe UI" w:hAnsi="Segoe UI" w:cs="Segoe UI"/>
          <w:sz w:val="22"/>
          <w:szCs w:val="22"/>
          <w:lang w:val="it-IT"/>
        </w:rPr>
        <w:t xml:space="preserve">da </w:t>
      </w:r>
      <w:r w:rsidR="00071948" w:rsidRPr="008D171E">
        <w:rPr>
          <w:rFonts w:ascii="Segoe UI" w:hAnsi="Segoe UI" w:cs="Segoe UI"/>
          <w:sz w:val="22"/>
          <w:szCs w:val="22"/>
          <w:lang w:val="it-IT"/>
        </w:rPr>
        <w:t xml:space="preserve">oltre </w:t>
      </w:r>
      <w:r w:rsidR="00CD7148" w:rsidRPr="008D171E">
        <w:rPr>
          <w:rFonts w:ascii="Segoe UI" w:hAnsi="Segoe UI" w:cs="Segoe UI"/>
          <w:sz w:val="22"/>
          <w:szCs w:val="22"/>
          <w:lang w:val="it-IT"/>
        </w:rPr>
        <w:t>cento anni</w:t>
      </w:r>
      <w:r w:rsidR="00071948" w:rsidRPr="008D171E">
        <w:rPr>
          <w:rFonts w:ascii="Segoe UI" w:hAnsi="Segoe UI" w:cs="Segoe UI"/>
          <w:sz w:val="22"/>
          <w:szCs w:val="22"/>
          <w:lang w:val="it-IT"/>
        </w:rPr>
        <w:t xml:space="preserve">. </w:t>
      </w:r>
      <w:r w:rsidR="00CD7148" w:rsidRPr="008D171E">
        <w:rPr>
          <w:rFonts w:ascii="Segoe UI" w:hAnsi="Segoe UI" w:cs="Segoe UI"/>
          <w:sz w:val="22"/>
          <w:szCs w:val="22"/>
          <w:lang w:val="it-IT"/>
        </w:rPr>
        <w:t>Ciò rappresenta</w:t>
      </w:r>
      <w:r w:rsidR="00071948" w:rsidRPr="008D171E">
        <w:rPr>
          <w:rFonts w:ascii="Segoe UI" w:hAnsi="Segoe UI" w:cs="Segoe UI"/>
          <w:sz w:val="22"/>
          <w:szCs w:val="22"/>
          <w:lang w:val="it-IT"/>
        </w:rPr>
        <w:t xml:space="preserve"> una conferma dell’aumento di interesse </w:t>
      </w:r>
      <w:r w:rsidR="00361617" w:rsidRPr="008D171E">
        <w:rPr>
          <w:rFonts w:ascii="Segoe UI" w:hAnsi="Segoe UI" w:cs="Segoe UI"/>
          <w:sz w:val="22"/>
          <w:szCs w:val="22"/>
          <w:lang w:val="it-IT"/>
        </w:rPr>
        <w:t>verso il</w:t>
      </w:r>
      <w:r w:rsidR="00071948" w:rsidRPr="008D171E">
        <w:rPr>
          <w:rFonts w:ascii="Segoe UI" w:hAnsi="Segoe UI" w:cs="Segoe UI"/>
          <w:sz w:val="22"/>
          <w:szCs w:val="22"/>
          <w:lang w:val="it-IT"/>
        </w:rPr>
        <w:t xml:space="preserve"> calcio europeo</w:t>
      </w:r>
      <w:r w:rsidR="00161DB9" w:rsidRPr="008D171E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BB61EA" w:rsidRPr="008D171E">
        <w:rPr>
          <w:rFonts w:ascii="Segoe UI" w:hAnsi="Segoe UI" w:cs="Segoe UI"/>
          <w:sz w:val="22"/>
          <w:szCs w:val="22"/>
          <w:lang w:val="it-IT"/>
        </w:rPr>
        <w:t>e del suo ottimo stato di salute</w:t>
      </w:r>
      <w:r w:rsidR="002D3D76">
        <w:rPr>
          <w:rFonts w:ascii="Segoe UI" w:hAnsi="Segoe UI" w:cs="Segoe UI"/>
          <w:sz w:val="22"/>
          <w:szCs w:val="22"/>
          <w:lang w:val="it-IT"/>
        </w:rPr>
        <w:t>.</w:t>
      </w:r>
    </w:p>
    <w:p w14:paraId="04A652B1" w14:textId="77777777" w:rsidR="00660E81" w:rsidRPr="0051432D" w:rsidRDefault="00660E81" w:rsidP="00DA34B2">
      <w:pPr>
        <w:rPr>
          <w:rFonts w:ascii="Segoe UI" w:hAnsi="Segoe UI" w:cs="Segoe UI"/>
          <w:sz w:val="22"/>
          <w:szCs w:val="22"/>
          <w:lang w:val="it-IT"/>
        </w:rPr>
      </w:pPr>
    </w:p>
    <w:p w14:paraId="6C7EDE41" w14:textId="562E270A" w:rsidR="00BC3C78" w:rsidRPr="0051432D" w:rsidRDefault="004572C5" w:rsidP="00660E81">
      <w:pPr>
        <w:pStyle w:val="ListParagraph"/>
        <w:numPr>
          <w:ilvl w:val="0"/>
          <w:numId w:val="2"/>
        </w:numPr>
        <w:rPr>
          <w:rFonts w:ascii="Segoe UI" w:hAnsi="Segoe UI" w:cs="Segoe UI"/>
          <w:b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D</w:t>
      </w:r>
      <w:r w:rsidR="00BC3C78" w:rsidRPr="0051432D">
        <w:rPr>
          <w:rFonts w:ascii="Segoe UI" w:hAnsi="Segoe UI" w:cs="Segoe UI"/>
          <w:sz w:val="22"/>
          <w:szCs w:val="22"/>
          <w:lang w:val="it-IT"/>
        </w:rPr>
        <w:t xml:space="preserve">all’introduzione del </w:t>
      </w:r>
      <w:r w:rsidR="005C5B4D">
        <w:rPr>
          <w:rFonts w:ascii="Segoe UI" w:hAnsi="Segoe UI" w:cs="Segoe UI"/>
          <w:sz w:val="22"/>
          <w:szCs w:val="22"/>
          <w:lang w:val="it-IT"/>
        </w:rPr>
        <w:t>f</w:t>
      </w:r>
      <w:r w:rsidR="00BC3C78" w:rsidRPr="0051432D">
        <w:rPr>
          <w:rFonts w:ascii="Segoe UI" w:hAnsi="Segoe UI" w:cs="Segoe UI"/>
          <w:sz w:val="22"/>
          <w:szCs w:val="22"/>
          <w:lang w:val="it-IT"/>
        </w:rPr>
        <w:t xml:space="preserve">air </w:t>
      </w:r>
      <w:r w:rsidR="005C5B4D">
        <w:rPr>
          <w:rFonts w:ascii="Segoe UI" w:hAnsi="Segoe UI" w:cs="Segoe UI"/>
          <w:sz w:val="22"/>
          <w:szCs w:val="22"/>
          <w:lang w:val="it-IT"/>
        </w:rPr>
        <w:t>p</w:t>
      </w:r>
      <w:r w:rsidR="00BC3C78" w:rsidRPr="0051432D">
        <w:rPr>
          <w:rFonts w:ascii="Segoe UI" w:hAnsi="Segoe UI" w:cs="Segoe UI"/>
          <w:sz w:val="22"/>
          <w:szCs w:val="22"/>
          <w:lang w:val="it-IT"/>
        </w:rPr>
        <w:t xml:space="preserve">lay </w:t>
      </w:r>
      <w:r w:rsidR="005C5B4D">
        <w:rPr>
          <w:rFonts w:ascii="Segoe UI" w:hAnsi="Segoe UI" w:cs="Segoe UI"/>
          <w:sz w:val="22"/>
          <w:szCs w:val="22"/>
          <w:lang w:val="it-IT"/>
        </w:rPr>
        <w:t>f</w:t>
      </w:r>
      <w:r w:rsidR="00BC3C78" w:rsidRPr="0051432D">
        <w:rPr>
          <w:rFonts w:ascii="Segoe UI" w:hAnsi="Segoe UI" w:cs="Segoe UI"/>
          <w:sz w:val="22"/>
          <w:szCs w:val="22"/>
          <w:lang w:val="it-IT"/>
        </w:rPr>
        <w:t xml:space="preserve">inanziario si è </w:t>
      </w:r>
      <w:r w:rsidR="0099526E" w:rsidRPr="0051432D">
        <w:rPr>
          <w:rFonts w:ascii="Segoe UI" w:hAnsi="Segoe UI" w:cs="Segoe UI"/>
          <w:sz w:val="22"/>
          <w:szCs w:val="22"/>
          <w:lang w:val="it-IT"/>
        </w:rPr>
        <w:t>riscontrata</w:t>
      </w:r>
      <w:r w:rsidR="00BC3C78" w:rsidRPr="0051432D">
        <w:rPr>
          <w:rFonts w:ascii="Segoe UI" w:hAnsi="Segoe UI" w:cs="Segoe UI"/>
          <w:sz w:val="22"/>
          <w:szCs w:val="22"/>
          <w:lang w:val="it-IT"/>
        </w:rPr>
        <w:t xml:space="preserve"> una riduzione significativa del numero di club europei che registrano </w:t>
      </w:r>
      <w:r w:rsidR="00161DB9" w:rsidRPr="0051432D">
        <w:rPr>
          <w:rFonts w:ascii="Segoe UI" w:hAnsi="Segoe UI" w:cs="Segoe UI"/>
          <w:sz w:val="22"/>
          <w:szCs w:val="22"/>
          <w:lang w:val="it-IT"/>
        </w:rPr>
        <w:t xml:space="preserve">delle perdite, in particolare </w:t>
      </w:r>
      <w:r>
        <w:rPr>
          <w:rFonts w:ascii="Segoe UI" w:hAnsi="Segoe UI" w:cs="Segoe UI"/>
          <w:sz w:val="22"/>
          <w:szCs w:val="22"/>
          <w:lang w:val="it-IT"/>
        </w:rPr>
        <w:t>negli eccessi di bilancio</w:t>
      </w:r>
      <w:r w:rsidR="00BC3C78" w:rsidRPr="0051432D">
        <w:rPr>
          <w:rFonts w:ascii="Segoe UI" w:hAnsi="Segoe UI" w:cs="Segoe UI"/>
          <w:sz w:val="22"/>
          <w:szCs w:val="22"/>
          <w:lang w:val="it-IT"/>
        </w:rPr>
        <w:t xml:space="preserve">, e il </w:t>
      </w:r>
      <w:r w:rsidR="00BC3C78" w:rsidRPr="0051432D">
        <w:rPr>
          <w:rFonts w:ascii="Segoe UI" w:hAnsi="Segoe UI" w:cs="Segoe UI"/>
          <w:b/>
          <w:sz w:val="22"/>
          <w:szCs w:val="22"/>
          <w:lang w:val="it-IT"/>
        </w:rPr>
        <w:t>numero di club</w:t>
      </w:r>
      <w:r w:rsidR="00BC3C78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BC3C78" w:rsidRPr="0051432D">
        <w:rPr>
          <w:rFonts w:ascii="Segoe UI" w:hAnsi="Segoe UI" w:cs="Segoe UI"/>
          <w:b/>
          <w:sz w:val="22"/>
          <w:szCs w:val="22"/>
          <w:lang w:val="it-IT"/>
        </w:rPr>
        <w:t xml:space="preserve">con una perdita di oltre 45 milioni di euro in un </w:t>
      </w:r>
      <w:r w:rsidR="00083A3A">
        <w:rPr>
          <w:rFonts w:ascii="Segoe UI" w:hAnsi="Segoe UI" w:cs="Segoe UI"/>
          <w:b/>
          <w:sz w:val="22"/>
          <w:szCs w:val="22"/>
          <w:lang w:val="it-IT"/>
        </w:rPr>
        <w:t>solo</w:t>
      </w:r>
      <w:r w:rsidR="00083A3A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BC3C78" w:rsidRPr="0051432D">
        <w:rPr>
          <w:rFonts w:ascii="Segoe UI" w:hAnsi="Segoe UI" w:cs="Segoe UI"/>
          <w:b/>
          <w:sz w:val="22"/>
          <w:szCs w:val="22"/>
          <w:lang w:val="it-IT"/>
        </w:rPr>
        <w:t>anno</w:t>
      </w:r>
      <w:r w:rsidR="00507F32" w:rsidRPr="0051432D">
        <w:rPr>
          <w:rFonts w:ascii="Segoe UI" w:hAnsi="Segoe UI" w:cs="Segoe UI"/>
          <w:b/>
          <w:sz w:val="22"/>
          <w:szCs w:val="22"/>
          <w:lang w:val="it-IT"/>
        </w:rPr>
        <w:t xml:space="preserve"> è </w:t>
      </w:r>
      <w:r w:rsidR="00100D02" w:rsidRPr="0051432D">
        <w:rPr>
          <w:rFonts w:ascii="Segoe UI" w:hAnsi="Segoe UI" w:cs="Segoe UI"/>
          <w:b/>
          <w:sz w:val="22"/>
          <w:szCs w:val="22"/>
          <w:lang w:val="it-IT"/>
        </w:rPr>
        <w:t>sceso</w:t>
      </w:r>
      <w:r w:rsidR="00507F32" w:rsidRPr="0051432D">
        <w:rPr>
          <w:rFonts w:ascii="Segoe UI" w:hAnsi="Segoe UI" w:cs="Segoe UI"/>
          <w:b/>
          <w:sz w:val="22"/>
          <w:szCs w:val="22"/>
          <w:lang w:val="it-IT"/>
        </w:rPr>
        <w:t xml:space="preserve"> da undici nell’</w:t>
      </w:r>
      <w:r w:rsidR="00083A3A">
        <w:rPr>
          <w:rFonts w:ascii="Segoe UI" w:hAnsi="Segoe UI" w:cs="Segoe UI"/>
          <w:b/>
          <w:sz w:val="22"/>
          <w:szCs w:val="22"/>
          <w:lang w:val="it-IT"/>
        </w:rPr>
        <w:t xml:space="preserve">esercizio </w:t>
      </w:r>
      <w:r w:rsidR="00507F32" w:rsidRPr="0051432D">
        <w:rPr>
          <w:rFonts w:ascii="Segoe UI" w:hAnsi="Segoe UI" w:cs="Segoe UI"/>
          <w:b/>
          <w:sz w:val="22"/>
          <w:szCs w:val="22"/>
          <w:lang w:val="it-IT"/>
        </w:rPr>
        <w:t>20</w:t>
      </w:r>
      <w:r w:rsidR="00BC3C78" w:rsidRPr="0051432D">
        <w:rPr>
          <w:rFonts w:ascii="Segoe UI" w:hAnsi="Segoe UI" w:cs="Segoe UI"/>
          <w:b/>
          <w:sz w:val="22"/>
          <w:szCs w:val="22"/>
          <w:lang w:val="it-IT"/>
        </w:rPr>
        <w:t xml:space="preserve">11 a quattro </w:t>
      </w:r>
      <w:r w:rsidR="00507F32" w:rsidRPr="0051432D">
        <w:rPr>
          <w:rFonts w:ascii="Segoe UI" w:hAnsi="Segoe UI" w:cs="Segoe UI"/>
          <w:b/>
          <w:sz w:val="22"/>
          <w:szCs w:val="22"/>
          <w:lang w:val="it-IT"/>
        </w:rPr>
        <w:t>nell’</w:t>
      </w:r>
      <w:r w:rsidR="00083A3A">
        <w:rPr>
          <w:rFonts w:ascii="Segoe UI" w:hAnsi="Segoe UI" w:cs="Segoe UI"/>
          <w:b/>
          <w:sz w:val="22"/>
          <w:szCs w:val="22"/>
          <w:lang w:val="it-IT"/>
        </w:rPr>
        <w:t xml:space="preserve">esercizio </w:t>
      </w:r>
      <w:r w:rsidR="00507F32" w:rsidRPr="0051432D">
        <w:rPr>
          <w:rFonts w:ascii="Segoe UI" w:hAnsi="Segoe UI" w:cs="Segoe UI"/>
          <w:b/>
          <w:sz w:val="22"/>
          <w:szCs w:val="22"/>
          <w:lang w:val="it-IT"/>
        </w:rPr>
        <w:t>2015.</w:t>
      </w:r>
    </w:p>
    <w:p w14:paraId="45A918F3" w14:textId="77777777" w:rsidR="00BC3C78" w:rsidRPr="0051432D" w:rsidRDefault="00BC3C78" w:rsidP="009E6C03">
      <w:pPr>
        <w:rPr>
          <w:rFonts w:ascii="Segoe UI" w:hAnsi="Segoe UI" w:cs="Segoe UI"/>
          <w:sz w:val="22"/>
          <w:szCs w:val="22"/>
          <w:lang w:val="it-IT"/>
        </w:rPr>
      </w:pPr>
    </w:p>
    <w:p w14:paraId="032F075C" w14:textId="666D894F" w:rsidR="00BC3C78" w:rsidRPr="0051432D" w:rsidRDefault="00BC3C78" w:rsidP="00DA34B2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>In generale</w:t>
      </w:r>
      <w:r w:rsidR="000F2288" w:rsidRPr="0051432D">
        <w:rPr>
          <w:rFonts w:ascii="Segoe UI" w:hAnsi="Segoe UI" w:cs="Segoe UI"/>
          <w:sz w:val="22"/>
          <w:szCs w:val="22"/>
          <w:lang w:val="it-IT"/>
        </w:rPr>
        <w:t>,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>i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club europei 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operano sempre più su una base finanziaria sostenibile e le perdite 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>complessive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D3737D">
        <w:rPr>
          <w:rFonts w:ascii="Segoe UI" w:hAnsi="Segoe UI" w:cs="Segoe UI"/>
          <w:sz w:val="22"/>
          <w:szCs w:val="22"/>
          <w:lang w:val="it-IT"/>
        </w:rPr>
        <w:t>sono state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 decurtate dell’81% a partire dall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 xml:space="preserve">a piena 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introduzione 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 xml:space="preserve">del </w:t>
      </w:r>
      <w:r w:rsidR="002835D3">
        <w:rPr>
          <w:rFonts w:ascii="Segoe UI" w:hAnsi="Segoe UI" w:cs="Segoe UI"/>
          <w:sz w:val="22"/>
          <w:szCs w:val="22"/>
          <w:lang w:val="it-IT"/>
        </w:rPr>
        <w:t>f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 xml:space="preserve">air </w:t>
      </w:r>
      <w:r w:rsidR="002835D3">
        <w:rPr>
          <w:rFonts w:ascii="Segoe UI" w:hAnsi="Segoe UI" w:cs="Segoe UI"/>
          <w:sz w:val="22"/>
          <w:szCs w:val="22"/>
          <w:lang w:val="it-IT"/>
        </w:rPr>
        <w:t>p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 xml:space="preserve">lay </w:t>
      </w:r>
      <w:r w:rsidR="002835D3">
        <w:rPr>
          <w:rFonts w:ascii="Segoe UI" w:hAnsi="Segoe UI" w:cs="Segoe UI"/>
          <w:sz w:val="22"/>
          <w:szCs w:val="22"/>
          <w:lang w:val="it-IT"/>
        </w:rPr>
        <w:t>f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>i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nanziario, passando da 1,7 miliardi di euro nel 2011 a 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>poco più di 300 milioni</w:t>
      </w:r>
      <w:r w:rsidR="005D6C4E">
        <w:rPr>
          <w:rFonts w:ascii="Segoe UI" w:hAnsi="Segoe UI" w:cs="Segoe UI"/>
          <w:sz w:val="22"/>
          <w:szCs w:val="22"/>
          <w:lang w:val="it-IT"/>
        </w:rPr>
        <w:t xml:space="preserve"> di euro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>nel 2015.</w:t>
      </w:r>
    </w:p>
    <w:p w14:paraId="3E3A092C" w14:textId="77777777" w:rsidR="00E9728E" w:rsidRPr="0051432D" w:rsidRDefault="00E9728E" w:rsidP="00E9728E">
      <w:pPr>
        <w:pStyle w:val="ListParagraph"/>
        <w:rPr>
          <w:rFonts w:ascii="Segoe UI" w:hAnsi="Segoe UI" w:cs="Segoe UI"/>
          <w:sz w:val="22"/>
          <w:szCs w:val="22"/>
          <w:lang w:val="it-IT"/>
        </w:rPr>
      </w:pPr>
    </w:p>
    <w:p w14:paraId="6990DED6" w14:textId="7C980F3D" w:rsidR="00560C30" w:rsidRPr="0051432D" w:rsidRDefault="00560C30" w:rsidP="00E9728E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 xml:space="preserve">Le </w:t>
      </w:r>
      <w:r w:rsidR="005D6C4E">
        <w:rPr>
          <w:rFonts w:ascii="Segoe UI" w:hAnsi="Segoe UI" w:cs="Segoe UI"/>
          <w:sz w:val="22"/>
          <w:szCs w:val="22"/>
          <w:lang w:val="it-IT"/>
        </w:rPr>
        <w:t>situazioni finanziarie</w:t>
      </w:r>
      <w:r w:rsidR="005D6C4E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sz w:val="22"/>
          <w:szCs w:val="22"/>
          <w:lang w:val="it-IT"/>
        </w:rPr>
        <w:t>dei club di calcio europei si sono rafforzate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>:</w:t>
      </w:r>
      <w:r w:rsidR="00E97C71" w:rsidRPr="0051432D">
        <w:rPr>
          <w:rFonts w:ascii="Segoe UI" w:hAnsi="Segoe UI" w:cs="Segoe UI"/>
          <w:sz w:val="22"/>
          <w:szCs w:val="22"/>
          <w:lang w:val="it-IT"/>
        </w:rPr>
        <w:t xml:space="preserve"> l’indebitamento </w:t>
      </w:r>
      <w:r w:rsidRPr="0051432D">
        <w:rPr>
          <w:rFonts w:ascii="Segoe UI" w:hAnsi="Segoe UI" w:cs="Segoe UI"/>
          <w:sz w:val="22"/>
          <w:szCs w:val="22"/>
          <w:lang w:val="it-IT"/>
        </w:rPr>
        <w:t>nett</w:t>
      </w:r>
      <w:r w:rsidR="00CD7148" w:rsidRPr="0051432D">
        <w:rPr>
          <w:rFonts w:ascii="Segoe UI" w:hAnsi="Segoe UI" w:cs="Segoe UI"/>
          <w:sz w:val="22"/>
          <w:szCs w:val="22"/>
          <w:lang w:val="it-IT"/>
        </w:rPr>
        <w:t xml:space="preserve">o calcolato in percentuale ai ricavi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è 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>sceso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dal 65% </w:t>
      </w:r>
      <w:r w:rsidR="00C95652">
        <w:rPr>
          <w:rFonts w:ascii="Segoe UI" w:hAnsi="Segoe UI" w:cs="Segoe UI"/>
          <w:sz w:val="22"/>
          <w:szCs w:val="22"/>
          <w:lang w:val="it-IT"/>
        </w:rPr>
        <w:t>d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el 2009 al 40% </w:t>
      </w:r>
      <w:r w:rsidR="00C95652">
        <w:rPr>
          <w:rFonts w:ascii="Segoe UI" w:hAnsi="Segoe UI" w:cs="Segoe UI"/>
          <w:sz w:val="22"/>
          <w:szCs w:val="22"/>
          <w:lang w:val="it-IT"/>
        </w:rPr>
        <w:t>d</w:t>
      </w:r>
      <w:r w:rsidRPr="0051432D">
        <w:rPr>
          <w:rFonts w:ascii="Segoe UI" w:hAnsi="Segoe UI" w:cs="Segoe UI"/>
          <w:sz w:val="22"/>
          <w:szCs w:val="22"/>
          <w:lang w:val="it-IT"/>
        </w:rPr>
        <w:t>el 2015.</w:t>
      </w:r>
    </w:p>
    <w:p w14:paraId="75C1952D" w14:textId="77777777" w:rsidR="00E9728E" w:rsidRPr="0051432D" w:rsidRDefault="00E9728E" w:rsidP="00E9728E">
      <w:pPr>
        <w:pStyle w:val="ListParagraph"/>
        <w:rPr>
          <w:rFonts w:ascii="Segoe UI" w:hAnsi="Segoe UI" w:cs="Segoe UI"/>
          <w:sz w:val="22"/>
          <w:szCs w:val="22"/>
          <w:lang w:val="it-IT"/>
        </w:rPr>
      </w:pPr>
    </w:p>
    <w:p w14:paraId="74D544FB" w14:textId="6197E2F5" w:rsidR="00560C30" w:rsidRPr="0051432D" w:rsidRDefault="00560C30" w:rsidP="003837FD">
      <w:pPr>
        <w:pStyle w:val="ListParagraph"/>
        <w:numPr>
          <w:ilvl w:val="0"/>
          <w:numId w:val="2"/>
        </w:numPr>
        <w:rPr>
          <w:rFonts w:ascii="Segoe UI" w:hAnsi="Segoe UI" w:cs="Segoe UI"/>
          <w:b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>Il calcio europeo gode di un livello di i</w:t>
      </w:r>
      <w:r w:rsidR="00507F32" w:rsidRPr="0051432D">
        <w:rPr>
          <w:rFonts w:ascii="Segoe UI" w:hAnsi="Segoe UI" w:cs="Segoe UI"/>
          <w:sz w:val="22"/>
          <w:szCs w:val="22"/>
          <w:lang w:val="it-IT"/>
        </w:rPr>
        <w:t>nvestimenti mai raggiunto prima: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>58 nuovi stadi di club tra il 2014 e il 2017</w:t>
      </w:r>
      <w:r w:rsidR="004139EA" w:rsidRPr="0051432D">
        <w:rPr>
          <w:rFonts w:ascii="Segoe UI" w:hAnsi="Segoe UI" w:cs="Segoe UI"/>
          <w:b/>
          <w:sz w:val="22"/>
          <w:szCs w:val="22"/>
          <w:lang w:val="it-IT"/>
        </w:rPr>
        <w:t>,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E97C71" w:rsidRPr="0051432D">
        <w:rPr>
          <w:rFonts w:ascii="Segoe UI" w:hAnsi="Segoe UI" w:cs="Segoe UI"/>
          <w:b/>
          <w:sz w:val="22"/>
          <w:szCs w:val="22"/>
          <w:lang w:val="it-IT"/>
        </w:rPr>
        <w:t>a fronte de</w:t>
      </w:r>
      <w:r w:rsidR="00507F32" w:rsidRPr="0051432D">
        <w:rPr>
          <w:rFonts w:ascii="Segoe UI" w:hAnsi="Segoe UI" w:cs="Segoe UI"/>
          <w:b/>
          <w:sz w:val="22"/>
          <w:szCs w:val="22"/>
          <w:lang w:val="it-IT"/>
        </w:rPr>
        <w:t>i 23 d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>el quadriennio</w:t>
      </w:r>
      <w:r w:rsidR="009B06A8" w:rsidRPr="009B06A8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9B06A8" w:rsidRPr="0051432D">
        <w:rPr>
          <w:rFonts w:ascii="Segoe UI" w:hAnsi="Segoe UI" w:cs="Segoe UI"/>
          <w:b/>
          <w:sz w:val="22"/>
          <w:szCs w:val="22"/>
          <w:lang w:val="it-IT"/>
        </w:rPr>
        <w:t>precedente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. </w:t>
      </w:r>
    </w:p>
    <w:p w14:paraId="6A8453EF" w14:textId="6DB6968E" w:rsidR="00560C30" w:rsidRPr="0051432D" w:rsidRDefault="00E97C71" w:rsidP="003837FD">
      <w:pPr>
        <w:pStyle w:val="ListParagraph"/>
        <w:numPr>
          <w:ilvl w:val="1"/>
          <w:numId w:val="2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b/>
          <w:sz w:val="22"/>
          <w:szCs w:val="22"/>
          <w:lang w:val="it-IT"/>
        </w:rPr>
        <w:t>Nel 2015 i</w:t>
      </w:r>
      <w:r w:rsidR="00560C30" w:rsidRPr="0051432D">
        <w:rPr>
          <w:rFonts w:ascii="Segoe UI" w:hAnsi="Segoe UI" w:cs="Segoe UI"/>
          <w:b/>
          <w:sz w:val="22"/>
          <w:szCs w:val="22"/>
          <w:lang w:val="it-IT"/>
        </w:rPr>
        <w:t xml:space="preserve"> club hanno investito 996 milioni di euro in nuov</w:t>
      </w:r>
      <w:r w:rsidR="00222A48" w:rsidRPr="0051432D">
        <w:rPr>
          <w:rFonts w:ascii="Segoe UI" w:hAnsi="Segoe UI" w:cs="Segoe UI"/>
          <w:b/>
          <w:sz w:val="22"/>
          <w:szCs w:val="22"/>
          <w:lang w:val="it-IT"/>
        </w:rPr>
        <w:t>e immobilizzazioni</w:t>
      </w:r>
      <w:r w:rsidR="005D6C4E">
        <w:rPr>
          <w:rFonts w:ascii="Segoe UI" w:hAnsi="Segoe UI" w:cs="Segoe UI"/>
          <w:b/>
          <w:sz w:val="22"/>
          <w:szCs w:val="22"/>
          <w:lang w:val="it-IT"/>
        </w:rPr>
        <w:t xml:space="preserve"> materiali</w:t>
      </w:r>
      <w:r w:rsidR="00560C30" w:rsidRPr="0051432D">
        <w:rPr>
          <w:rFonts w:ascii="Segoe UI" w:hAnsi="Segoe UI" w:cs="Segoe UI"/>
          <w:b/>
          <w:sz w:val="22"/>
          <w:szCs w:val="22"/>
          <w:lang w:val="it-IT"/>
        </w:rPr>
        <w:t xml:space="preserve">, 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principalmente in </w:t>
      </w:r>
      <w:r w:rsidR="003D53EC" w:rsidRPr="0051432D">
        <w:rPr>
          <w:rFonts w:ascii="Segoe UI" w:hAnsi="Segoe UI" w:cs="Segoe UI"/>
          <w:sz w:val="22"/>
          <w:szCs w:val="22"/>
          <w:lang w:val="it-IT"/>
        </w:rPr>
        <w:t xml:space="preserve">stadi e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in 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strutture e </w:t>
      </w:r>
      <w:r w:rsidR="00376241">
        <w:rPr>
          <w:rFonts w:ascii="Segoe UI" w:hAnsi="Segoe UI" w:cs="Segoe UI"/>
          <w:sz w:val="22"/>
          <w:szCs w:val="22"/>
          <w:lang w:val="it-IT"/>
        </w:rPr>
        <w:t>impianti</w:t>
      </w:r>
      <w:r w:rsidR="00376241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3D53EC" w:rsidRPr="0051432D">
        <w:rPr>
          <w:rFonts w:ascii="Segoe UI" w:hAnsi="Segoe UI" w:cs="Segoe UI"/>
          <w:sz w:val="22"/>
          <w:szCs w:val="22"/>
          <w:lang w:val="it-IT"/>
        </w:rPr>
        <w:t xml:space="preserve">per </w:t>
      </w:r>
      <w:r w:rsidR="004139EA" w:rsidRPr="0051432D">
        <w:rPr>
          <w:rFonts w:ascii="Segoe UI" w:hAnsi="Segoe UI" w:cs="Segoe UI"/>
          <w:sz w:val="22"/>
          <w:szCs w:val="22"/>
          <w:lang w:val="it-IT"/>
        </w:rPr>
        <w:t>gli allenamenti</w:t>
      </w:r>
      <w:r w:rsidR="00326C90">
        <w:rPr>
          <w:rFonts w:ascii="Segoe UI" w:hAnsi="Segoe UI" w:cs="Segoe UI"/>
          <w:sz w:val="22"/>
          <w:szCs w:val="22"/>
          <w:lang w:val="it-IT"/>
        </w:rPr>
        <w:t>:</w:t>
      </w:r>
      <w:r w:rsidR="004139EA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sz w:val="22"/>
          <w:szCs w:val="22"/>
          <w:lang w:val="it-IT"/>
        </w:rPr>
        <w:t>un miglioramento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 rispetto ai 670 milioni investiti nell’anno precedente. Ciò ha contribuito alla crescita pi</w:t>
      </w:r>
      <w:r w:rsidR="004139EA" w:rsidRPr="0051432D">
        <w:rPr>
          <w:rFonts w:ascii="Segoe UI" w:hAnsi="Segoe UI" w:cs="Segoe UI"/>
          <w:sz w:val="22"/>
          <w:szCs w:val="22"/>
          <w:lang w:val="it-IT"/>
        </w:rPr>
        <w:t>ù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 veloce (7%) </w:t>
      </w:r>
      <w:r w:rsidR="00222A48" w:rsidRPr="0051432D">
        <w:rPr>
          <w:rFonts w:ascii="Segoe UI" w:hAnsi="Segoe UI" w:cs="Segoe UI"/>
          <w:sz w:val="22"/>
          <w:szCs w:val="22"/>
          <w:lang w:val="it-IT"/>
        </w:rPr>
        <w:t>d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el valore </w:t>
      </w:r>
      <w:r w:rsidR="004139EA" w:rsidRPr="0051432D">
        <w:rPr>
          <w:rFonts w:ascii="Segoe UI" w:hAnsi="Segoe UI" w:cs="Segoe UI"/>
          <w:sz w:val="22"/>
          <w:szCs w:val="22"/>
          <w:lang w:val="it-IT"/>
        </w:rPr>
        <w:t>delle immobilizzazioni</w:t>
      </w:r>
      <w:r w:rsidR="005D6C4E">
        <w:rPr>
          <w:rFonts w:ascii="Segoe UI" w:hAnsi="Segoe UI" w:cs="Segoe UI"/>
          <w:sz w:val="22"/>
          <w:szCs w:val="22"/>
          <w:lang w:val="it-IT"/>
        </w:rPr>
        <w:t xml:space="preserve"> materiali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682D72">
        <w:rPr>
          <w:rFonts w:ascii="Segoe UI" w:hAnsi="Segoe UI" w:cs="Segoe UI"/>
          <w:sz w:val="22"/>
          <w:szCs w:val="22"/>
          <w:lang w:val="it-IT"/>
        </w:rPr>
        <w:t>iscritte in</w:t>
      </w:r>
      <w:r w:rsidR="00682D72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bilancio 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da quando si </w:t>
      </w:r>
      <w:r w:rsidR="004139EA" w:rsidRPr="0051432D">
        <w:rPr>
          <w:rFonts w:ascii="Segoe UI" w:hAnsi="Segoe UI" w:cs="Segoe UI"/>
          <w:sz w:val="22"/>
          <w:szCs w:val="22"/>
          <w:lang w:val="it-IT"/>
        </w:rPr>
        <w:t xml:space="preserve">è iniziato a </w:t>
      </w:r>
      <w:r w:rsidRPr="0051432D">
        <w:rPr>
          <w:rFonts w:ascii="Segoe UI" w:hAnsi="Segoe UI" w:cs="Segoe UI"/>
          <w:sz w:val="22"/>
          <w:szCs w:val="22"/>
          <w:lang w:val="it-IT"/>
        </w:rPr>
        <w:t>tenere registri dettagliati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>.</w:t>
      </w:r>
    </w:p>
    <w:p w14:paraId="784175A3" w14:textId="708D860D" w:rsidR="00560C30" w:rsidRPr="0051432D" w:rsidRDefault="005D6C4E" w:rsidP="003837FD">
      <w:pPr>
        <w:pStyle w:val="ListParagraph"/>
        <w:numPr>
          <w:ilvl w:val="1"/>
          <w:numId w:val="2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b/>
          <w:sz w:val="22"/>
          <w:szCs w:val="22"/>
          <w:lang w:val="it-IT"/>
        </w:rPr>
        <w:t>Dall’</w:t>
      </w:r>
      <w:r w:rsidR="00560C30" w:rsidRPr="0051432D">
        <w:rPr>
          <w:rFonts w:ascii="Segoe UI" w:hAnsi="Segoe UI" w:cs="Segoe UI"/>
          <w:b/>
          <w:sz w:val="22"/>
          <w:szCs w:val="22"/>
          <w:lang w:val="it-IT"/>
        </w:rPr>
        <w:t>introduzione del</w:t>
      </w:r>
      <w:r w:rsidR="00326C90">
        <w:rPr>
          <w:rFonts w:ascii="Segoe UI" w:hAnsi="Segoe UI" w:cs="Segoe UI"/>
          <w:b/>
          <w:sz w:val="22"/>
          <w:szCs w:val="22"/>
          <w:lang w:val="it-IT"/>
        </w:rPr>
        <w:t xml:space="preserve"> requisito </w:t>
      </w:r>
      <w:r w:rsidR="00560C30" w:rsidRPr="0051432D">
        <w:rPr>
          <w:rFonts w:ascii="Segoe UI" w:hAnsi="Segoe UI" w:cs="Segoe UI"/>
          <w:b/>
          <w:sz w:val="22"/>
          <w:szCs w:val="22"/>
          <w:lang w:val="it-IT"/>
        </w:rPr>
        <w:t xml:space="preserve">di </w:t>
      </w:r>
      <w:r w:rsidR="000F5444" w:rsidRPr="0051432D">
        <w:rPr>
          <w:rFonts w:ascii="Segoe UI" w:hAnsi="Segoe UI" w:cs="Segoe UI"/>
          <w:b/>
          <w:sz w:val="22"/>
          <w:szCs w:val="22"/>
          <w:lang w:val="it-IT"/>
        </w:rPr>
        <w:t xml:space="preserve">pareggio </w:t>
      </w:r>
      <w:r w:rsidR="00326C90">
        <w:rPr>
          <w:rFonts w:ascii="Segoe UI" w:hAnsi="Segoe UI" w:cs="Segoe UI"/>
          <w:b/>
          <w:sz w:val="22"/>
          <w:szCs w:val="22"/>
          <w:lang w:val="it-IT"/>
        </w:rPr>
        <w:t xml:space="preserve">di bilancio </w:t>
      </w:r>
      <w:r w:rsidR="000F5444" w:rsidRPr="0051432D">
        <w:rPr>
          <w:rFonts w:ascii="Segoe UI" w:hAnsi="Segoe UI" w:cs="Segoe UI"/>
          <w:b/>
          <w:sz w:val="22"/>
          <w:szCs w:val="22"/>
          <w:lang w:val="it-IT"/>
        </w:rPr>
        <w:t>FFP (2011-2015), i</w:t>
      </w:r>
      <w:r w:rsidR="00560C30" w:rsidRPr="0051432D">
        <w:rPr>
          <w:rFonts w:ascii="Segoe UI" w:hAnsi="Segoe UI" w:cs="Segoe UI"/>
          <w:b/>
          <w:sz w:val="22"/>
          <w:szCs w:val="22"/>
          <w:lang w:val="it-IT"/>
        </w:rPr>
        <w:t>l va</w:t>
      </w:r>
      <w:r w:rsidR="00E97C71" w:rsidRPr="0051432D">
        <w:rPr>
          <w:rFonts w:ascii="Segoe UI" w:hAnsi="Segoe UI" w:cs="Segoe UI"/>
          <w:b/>
          <w:sz w:val="22"/>
          <w:szCs w:val="22"/>
          <w:lang w:val="it-IT"/>
        </w:rPr>
        <w:t xml:space="preserve">lore </w:t>
      </w:r>
      <w:r w:rsidR="000F5444" w:rsidRPr="0051432D">
        <w:rPr>
          <w:rFonts w:ascii="Segoe UI" w:hAnsi="Segoe UI" w:cs="Segoe UI"/>
          <w:b/>
          <w:sz w:val="22"/>
          <w:szCs w:val="22"/>
          <w:lang w:val="it-IT"/>
        </w:rPr>
        <w:t>delle immobilizzazioni</w:t>
      </w:r>
      <w:r>
        <w:rPr>
          <w:rFonts w:ascii="Segoe UI" w:hAnsi="Segoe UI" w:cs="Segoe UI"/>
          <w:b/>
          <w:sz w:val="22"/>
          <w:szCs w:val="22"/>
          <w:lang w:val="it-IT"/>
        </w:rPr>
        <w:t xml:space="preserve"> materiali</w:t>
      </w:r>
      <w:r w:rsidR="00E97C71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682D72">
        <w:rPr>
          <w:rFonts w:ascii="Segoe UI" w:hAnsi="Segoe UI" w:cs="Segoe UI"/>
          <w:b/>
          <w:sz w:val="22"/>
          <w:szCs w:val="22"/>
          <w:lang w:val="it-IT"/>
        </w:rPr>
        <w:t>iscritte in</w:t>
      </w:r>
      <w:r w:rsidR="00682D72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E97C71" w:rsidRPr="0051432D">
        <w:rPr>
          <w:rFonts w:ascii="Segoe UI" w:hAnsi="Segoe UI" w:cs="Segoe UI"/>
          <w:b/>
          <w:sz w:val="22"/>
          <w:szCs w:val="22"/>
          <w:lang w:val="it-IT"/>
        </w:rPr>
        <w:t>bilanci</w:t>
      </w:r>
      <w:r w:rsidR="00682D72">
        <w:rPr>
          <w:rFonts w:ascii="Segoe UI" w:hAnsi="Segoe UI" w:cs="Segoe UI"/>
          <w:b/>
          <w:sz w:val="22"/>
          <w:szCs w:val="22"/>
          <w:lang w:val="it-IT"/>
        </w:rPr>
        <w:t>o</w:t>
      </w:r>
      <w:r w:rsidR="000F5444" w:rsidRPr="0051432D">
        <w:rPr>
          <w:rFonts w:ascii="Segoe UI" w:hAnsi="Segoe UI" w:cs="Segoe UI"/>
          <w:b/>
          <w:sz w:val="22"/>
          <w:szCs w:val="22"/>
          <w:lang w:val="it-IT"/>
        </w:rPr>
        <w:t xml:space="preserve"> ha visto un aumento di</w:t>
      </w:r>
      <w:r w:rsidR="00560C30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0F5444" w:rsidRPr="0051432D">
        <w:rPr>
          <w:rFonts w:ascii="Segoe UI" w:hAnsi="Segoe UI" w:cs="Segoe UI"/>
          <w:b/>
          <w:sz w:val="22"/>
          <w:szCs w:val="22"/>
          <w:lang w:val="it-IT"/>
        </w:rPr>
        <w:t xml:space="preserve">1,3 </w:t>
      </w:r>
      <w:r w:rsidR="000F5444" w:rsidRPr="0051432D">
        <w:rPr>
          <w:rFonts w:ascii="Segoe UI" w:hAnsi="Segoe UI" w:cs="Segoe UI"/>
          <w:b/>
          <w:sz w:val="22"/>
          <w:szCs w:val="22"/>
          <w:lang w:val="it-IT"/>
        </w:rPr>
        <w:lastRenderedPageBreak/>
        <w:t xml:space="preserve">miliardi di euro, 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principalmente </w:t>
      </w:r>
      <w:r w:rsidR="000F5444" w:rsidRPr="0051432D">
        <w:rPr>
          <w:rFonts w:ascii="Segoe UI" w:hAnsi="Segoe UI" w:cs="Segoe UI"/>
          <w:sz w:val="22"/>
          <w:szCs w:val="22"/>
          <w:lang w:val="it-IT"/>
        </w:rPr>
        <w:t xml:space="preserve">in 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stadi, </w:t>
      </w:r>
      <w:r w:rsidR="00682D72">
        <w:rPr>
          <w:rFonts w:ascii="Segoe UI" w:hAnsi="Segoe UI" w:cs="Segoe UI"/>
          <w:sz w:val="22"/>
          <w:szCs w:val="22"/>
          <w:lang w:val="it-IT"/>
        </w:rPr>
        <w:t>impianti</w:t>
      </w:r>
      <w:r w:rsidR="00682D72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0F5444" w:rsidRPr="0051432D">
        <w:rPr>
          <w:rFonts w:ascii="Segoe UI" w:hAnsi="Segoe UI" w:cs="Segoe UI"/>
          <w:sz w:val="22"/>
          <w:szCs w:val="22"/>
          <w:lang w:val="it-IT"/>
        </w:rPr>
        <w:t xml:space="preserve">per 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>allenamenti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 xml:space="preserve"> e altre infrastrutture.</w:t>
      </w:r>
      <w:r w:rsidR="00560C30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</w:p>
    <w:p w14:paraId="024AF205" w14:textId="77777777" w:rsidR="00660E81" w:rsidRPr="0051432D" w:rsidRDefault="00660E81" w:rsidP="00660E81">
      <w:pPr>
        <w:ind w:left="360"/>
        <w:rPr>
          <w:rFonts w:ascii="Segoe UI" w:hAnsi="Segoe UI" w:cs="Segoe UI"/>
          <w:sz w:val="22"/>
          <w:szCs w:val="22"/>
          <w:lang w:val="it-IT"/>
        </w:rPr>
      </w:pPr>
    </w:p>
    <w:p w14:paraId="1ABA7883" w14:textId="5E6B3D1B" w:rsidR="00CB3116" w:rsidRPr="0051432D" w:rsidRDefault="00222A48" w:rsidP="004C730C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 xml:space="preserve">I campionati </w:t>
      </w:r>
      <w:r w:rsidR="00682D72">
        <w:rPr>
          <w:rFonts w:ascii="Segoe UI" w:hAnsi="Segoe UI" w:cs="Segoe UI"/>
          <w:sz w:val="22"/>
          <w:szCs w:val="22"/>
          <w:lang w:val="it-IT"/>
        </w:rPr>
        <w:t>delle</w:t>
      </w:r>
      <w:r w:rsidR="00682D72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850D54">
        <w:rPr>
          <w:rFonts w:ascii="Segoe UI" w:hAnsi="Segoe UI" w:cs="Segoe UI"/>
          <w:sz w:val="22"/>
          <w:szCs w:val="22"/>
          <w:lang w:val="it-IT"/>
        </w:rPr>
        <w:t>"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>Big 4</w:t>
      </w:r>
      <w:r w:rsidR="00850D54">
        <w:rPr>
          <w:rFonts w:ascii="Segoe UI" w:hAnsi="Segoe UI" w:cs="Segoe UI"/>
          <w:sz w:val="22"/>
          <w:szCs w:val="22"/>
          <w:lang w:val="it-IT"/>
        </w:rPr>
        <w:t>"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 xml:space="preserve"> (Inghilterra, Germania, Italia e Spagna) </w:t>
      </w:r>
      <w:r w:rsidR="007E4683" w:rsidRPr="0051432D">
        <w:rPr>
          <w:rFonts w:ascii="Segoe UI" w:hAnsi="Segoe UI" w:cs="Segoe UI"/>
          <w:sz w:val="22"/>
          <w:szCs w:val="22"/>
          <w:lang w:val="it-IT"/>
        </w:rPr>
        <w:t xml:space="preserve">sono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stati </w:t>
      </w:r>
      <w:r w:rsidR="007E4683" w:rsidRPr="0051432D">
        <w:rPr>
          <w:rFonts w:ascii="Segoe UI" w:hAnsi="Segoe UI" w:cs="Segoe UI"/>
          <w:sz w:val="22"/>
          <w:szCs w:val="22"/>
          <w:lang w:val="it-IT"/>
        </w:rPr>
        <w:t xml:space="preserve">responsabili dell’81% del totale delle spese di </w:t>
      </w:r>
      <w:r w:rsidR="00E97C71" w:rsidRPr="0051432D">
        <w:rPr>
          <w:rFonts w:ascii="Segoe UI" w:hAnsi="Segoe UI" w:cs="Segoe UI"/>
          <w:sz w:val="22"/>
          <w:szCs w:val="22"/>
          <w:lang w:val="it-IT"/>
        </w:rPr>
        <w:t>trasferimento delle</w:t>
      </w:r>
      <w:r w:rsidR="007E4683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E97C71" w:rsidRPr="0051432D">
        <w:rPr>
          <w:rFonts w:ascii="Segoe UI" w:hAnsi="Segoe UI" w:cs="Segoe UI"/>
          <w:sz w:val="22"/>
          <w:szCs w:val="22"/>
          <w:lang w:val="it-IT"/>
        </w:rPr>
        <w:t xml:space="preserve">massime </w:t>
      </w:r>
      <w:r w:rsidR="00DF4FD3">
        <w:rPr>
          <w:rFonts w:ascii="Segoe UI" w:hAnsi="Segoe UI" w:cs="Segoe UI"/>
          <w:sz w:val="22"/>
          <w:szCs w:val="22"/>
          <w:lang w:val="it-IT"/>
        </w:rPr>
        <w:t>divisioni</w:t>
      </w:r>
      <w:r w:rsidR="00DF4FD3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0F5444" w:rsidRPr="0051432D">
        <w:rPr>
          <w:rFonts w:ascii="Segoe UI" w:hAnsi="Segoe UI" w:cs="Segoe UI"/>
          <w:sz w:val="22"/>
          <w:szCs w:val="22"/>
          <w:lang w:val="it-IT"/>
        </w:rPr>
        <w:t>nell’</w:t>
      </w:r>
      <w:r w:rsidR="00DF4FD3">
        <w:rPr>
          <w:rFonts w:ascii="Segoe UI" w:hAnsi="Segoe UI" w:cs="Segoe UI"/>
          <w:sz w:val="22"/>
          <w:szCs w:val="22"/>
          <w:lang w:val="it-IT"/>
        </w:rPr>
        <w:t xml:space="preserve">esercizio 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 xml:space="preserve">2015, </w:t>
      </w:r>
      <w:r w:rsidR="000F5444" w:rsidRPr="0051432D">
        <w:rPr>
          <w:rFonts w:ascii="Segoe UI" w:hAnsi="Segoe UI" w:cs="Segoe UI"/>
          <w:sz w:val="22"/>
          <w:szCs w:val="22"/>
          <w:lang w:val="it-IT"/>
        </w:rPr>
        <w:t xml:space="preserve">con </w:t>
      </w:r>
      <w:r w:rsidRPr="0051432D">
        <w:rPr>
          <w:rFonts w:ascii="Segoe UI" w:hAnsi="Segoe UI" w:cs="Segoe UI"/>
          <w:sz w:val="22"/>
          <w:szCs w:val="22"/>
          <w:lang w:val="it-IT"/>
        </w:rPr>
        <w:t>un aumento notevole d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 xml:space="preserve">ella concentrazione </w:t>
      </w:r>
      <w:r w:rsidR="007E4683" w:rsidRPr="0051432D">
        <w:rPr>
          <w:rFonts w:ascii="Segoe UI" w:hAnsi="Segoe UI" w:cs="Segoe UI"/>
          <w:sz w:val="22"/>
          <w:szCs w:val="22"/>
          <w:lang w:val="it-IT"/>
        </w:rPr>
        <w:t xml:space="preserve">delle spese di </w:t>
      </w:r>
      <w:r w:rsidR="005937FF" w:rsidRPr="0051432D">
        <w:rPr>
          <w:rFonts w:ascii="Segoe UI" w:hAnsi="Segoe UI" w:cs="Segoe UI"/>
          <w:sz w:val="22"/>
          <w:szCs w:val="22"/>
          <w:lang w:val="it-IT"/>
        </w:rPr>
        <w:t>trasferimento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 xml:space="preserve"> rispetto </w:t>
      </w:r>
      <w:r w:rsidR="000F5444" w:rsidRPr="0051432D">
        <w:rPr>
          <w:rFonts w:ascii="Segoe UI" w:hAnsi="Segoe UI" w:cs="Segoe UI"/>
          <w:sz w:val="22"/>
          <w:szCs w:val="22"/>
          <w:lang w:val="it-IT"/>
        </w:rPr>
        <w:t>al record precedente del 72% (</w:t>
      </w:r>
      <w:r w:rsidR="00DF4FD3">
        <w:rPr>
          <w:rFonts w:ascii="Segoe UI" w:hAnsi="Segoe UI" w:cs="Segoe UI"/>
          <w:sz w:val="22"/>
          <w:szCs w:val="22"/>
          <w:lang w:val="it-IT"/>
        </w:rPr>
        <w:t>esercizio</w:t>
      </w:r>
      <w:r w:rsidR="000F5444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>2014).</w:t>
      </w:r>
    </w:p>
    <w:p w14:paraId="7EAE0650" w14:textId="77777777" w:rsidR="00660E81" w:rsidRPr="0051432D" w:rsidRDefault="00660E81" w:rsidP="00660E81">
      <w:pPr>
        <w:pStyle w:val="ListParagraph"/>
        <w:rPr>
          <w:rFonts w:ascii="Segoe UI" w:hAnsi="Segoe UI" w:cs="Segoe UI"/>
          <w:b/>
          <w:sz w:val="22"/>
          <w:szCs w:val="22"/>
          <w:lang w:val="it-IT"/>
        </w:rPr>
      </w:pPr>
    </w:p>
    <w:p w14:paraId="13C9A174" w14:textId="58F55B0D" w:rsidR="00CB3116" w:rsidRPr="004E5AF6" w:rsidRDefault="005351AC" w:rsidP="00660E81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2"/>
          <w:szCs w:val="22"/>
          <w:lang w:val="it-IT"/>
        </w:rPr>
      </w:pPr>
      <w:r>
        <w:rPr>
          <w:rFonts w:ascii="Segoe UI" w:hAnsi="Segoe UI" w:cs="Segoe UI"/>
          <w:b/>
          <w:sz w:val="22"/>
          <w:szCs w:val="22"/>
          <w:lang w:val="it-IT"/>
        </w:rPr>
        <w:t>Complessivamente, i</w:t>
      </w:r>
      <w:r w:rsidR="00CB3116" w:rsidRPr="005351AC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095F43" w:rsidRPr="005351AC">
        <w:rPr>
          <w:rFonts w:ascii="Segoe UI" w:hAnsi="Segoe UI" w:cs="Segoe UI"/>
          <w:b/>
          <w:sz w:val="22"/>
          <w:szCs w:val="22"/>
          <w:lang w:val="it-IT"/>
        </w:rPr>
        <w:t xml:space="preserve">20 </w:t>
      </w:r>
      <w:r w:rsidR="00CB3116" w:rsidRPr="005351AC">
        <w:rPr>
          <w:rFonts w:ascii="Segoe UI" w:hAnsi="Segoe UI" w:cs="Segoe UI"/>
          <w:b/>
          <w:sz w:val="22"/>
          <w:szCs w:val="22"/>
          <w:lang w:val="it-IT"/>
        </w:rPr>
        <w:t xml:space="preserve">club inglesi </w:t>
      </w:r>
      <w:r>
        <w:rPr>
          <w:rFonts w:ascii="Segoe UI" w:hAnsi="Segoe UI" w:cs="Segoe UI"/>
          <w:b/>
          <w:sz w:val="22"/>
          <w:szCs w:val="22"/>
          <w:lang w:val="it-IT"/>
        </w:rPr>
        <w:t xml:space="preserve">di massima divisione </w:t>
      </w:r>
      <w:r w:rsidR="00CB3116" w:rsidRPr="005351AC">
        <w:rPr>
          <w:rFonts w:ascii="Segoe UI" w:hAnsi="Segoe UI" w:cs="Segoe UI"/>
          <w:b/>
          <w:sz w:val="22"/>
          <w:szCs w:val="22"/>
          <w:lang w:val="it-IT"/>
        </w:rPr>
        <w:t xml:space="preserve">hanno di nuovo riportato </w:t>
      </w:r>
      <w:r w:rsidR="005937FF" w:rsidRPr="005351AC">
        <w:rPr>
          <w:rFonts w:ascii="Segoe UI" w:hAnsi="Segoe UI" w:cs="Segoe UI"/>
          <w:b/>
          <w:sz w:val="22"/>
          <w:szCs w:val="22"/>
          <w:lang w:val="it-IT"/>
        </w:rPr>
        <w:t>ricavi</w:t>
      </w:r>
      <w:r w:rsidR="00CB3116" w:rsidRPr="005351AC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5937FF" w:rsidRPr="005351AC">
        <w:rPr>
          <w:rFonts w:ascii="Segoe UI" w:hAnsi="Segoe UI" w:cs="Segoe UI"/>
          <w:b/>
          <w:sz w:val="22"/>
          <w:szCs w:val="22"/>
          <w:lang w:val="it-IT"/>
        </w:rPr>
        <w:t xml:space="preserve">superiori </w:t>
      </w:r>
      <w:r w:rsidR="00C858B7" w:rsidRPr="005351AC">
        <w:rPr>
          <w:rFonts w:ascii="Segoe UI" w:hAnsi="Segoe UI" w:cs="Segoe UI"/>
          <w:b/>
          <w:sz w:val="22"/>
          <w:szCs w:val="22"/>
          <w:lang w:val="it-IT"/>
        </w:rPr>
        <w:t>a</w:t>
      </w:r>
      <w:r w:rsidR="00095F43" w:rsidRPr="005351AC">
        <w:rPr>
          <w:rFonts w:ascii="Segoe UI" w:hAnsi="Segoe UI" w:cs="Segoe UI"/>
          <w:b/>
          <w:sz w:val="22"/>
          <w:szCs w:val="22"/>
          <w:lang w:val="it-IT"/>
        </w:rPr>
        <w:t xml:space="preserve"> tutti</w:t>
      </w:r>
      <w:r w:rsidR="00CB3116" w:rsidRPr="005351AC">
        <w:rPr>
          <w:rFonts w:ascii="Segoe UI" w:hAnsi="Segoe UI" w:cs="Segoe UI"/>
          <w:b/>
          <w:sz w:val="22"/>
          <w:szCs w:val="22"/>
          <w:lang w:val="it-IT"/>
        </w:rPr>
        <w:t xml:space="preserve"> gli altri 597 club </w:t>
      </w:r>
      <w:r w:rsidR="0094603F">
        <w:rPr>
          <w:rFonts w:ascii="Segoe UI" w:hAnsi="Segoe UI" w:cs="Segoe UI"/>
          <w:b/>
          <w:sz w:val="22"/>
          <w:szCs w:val="22"/>
          <w:lang w:val="it-IT"/>
        </w:rPr>
        <w:t>d</w:t>
      </w:r>
      <w:r w:rsidR="00EC3D91">
        <w:rPr>
          <w:rFonts w:ascii="Segoe UI" w:hAnsi="Segoe UI" w:cs="Segoe UI"/>
          <w:b/>
          <w:sz w:val="22"/>
          <w:szCs w:val="22"/>
          <w:lang w:val="it-IT"/>
        </w:rPr>
        <w:t>e</w:t>
      </w:r>
      <w:r w:rsidR="00CB3116" w:rsidRPr="004E5AF6">
        <w:rPr>
          <w:rFonts w:ascii="Segoe UI" w:hAnsi="Segoe UI" w:cs="Segoe UI"/>
          <w:b/>
          <w:sz w:val="22"/>
          <w:szCs w:val="22"/>
          <w:lang w:val="it-IT"/>
        </w:rPr>
        <w:t xml:space="preserve">lle 48 </w:t>
      </w:r>
      <w:r w:rsidR="0094603F">
        <w:rPr>
          <w:rFonts w:ascii="Segoe UI" w:hAnsi="Segoe UI" w:cs="Segoe UI"/>
          <w:b/>
          <w:sz w:val="22"/>
          <w:szCs w:val="22"/>
          <w:lang w:val="it-IT"/>
        </w:rPr>
        <w:t>federazioni</w:t>
      </w:r>
      <w:r w:rsidR="0094603F" w:rsidRPr="004E5AF6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CB3116" w:rsidRPr="004E5AF6">
        <w:rPr>
          <w:rFonts w:ascii="Segoe UI" w:hAnsi="Segoe UI" w:cs="Segoe UI"/>
          <w:b/>
          <w:sz w:val="22"/>
          <w:szCs w:val="22"/>
          <w:lang w:val="it-IT"/>
        </w:rPr>
        <w:t>minori membri della UEFA.</w:t>
      </w:r>
    </w:p>
    <w:p w14:paraId="39439936" w14:textId="77777777" w:rsidR="00660E81" w:rsidRPr="0051432D" w:rsidRDefault="00660E81" w:rsidP="00660E81">
      <w:pPr>
        <w:ind w:left="360"/>
        <w:rPr>
          <w:rFonts w:ascii="Segoe UI" w:hAnsi="Segoe UI" w:cs="Segoe UI"/>
          <w:b/>
          <w:sz w:val="22"/>
          <w:szCs w:val="22"/>
          <w:lang w:val="it-IT"/>
        </w:rPr>
      </w:pPr>
    </w:p>
    <w:p w14:paraId="21801A9B" w14:textId="57B2DDA9" w:rsidR="00CB3116" w:rsidRPr="0051432D" w:rsidRDefault="00C858B7" w:rsidP="00660E81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>I ricavi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 xml:space="preserve"> continuano a crescere a livelli record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>,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471F43" w:rsidRPr="0051432D">
        <w:rPr>
          <w:rFonts w:ascii="Segoe UI" w:hAnsi="Segoe UI" w:cs="Segoe UI"/>
          <w:sz w:val="22"/>
          <w:szCs w:val="22"/>
          <w:lang w:val="it-IT"/>
        </w:rPr>
        <w:t>ma aumentan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 xml:space="preserve">o </w:t>
      </w:r>
      <w:r w:rsidR="005937FF" w:rsidRPr="0051432D">
        <w:rPr>
          <w:rFonts w:ascii="Segoe UI" w:hAnsi="Segoe UI" w:cs="Segoe UI"/>
          <w:sz w:val="22"/>
          <w:szCs w:val="22"/>
          <w:lang w:val="it-IT"/>
        </w:rPr>
        <w:t>anche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 xml:space="preserve"> le disuguaglianze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 xml:space="preserve">, come 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>la crescita dei cosiddetti super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>club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D04891" w:rsidRPr="0051432D">
        <w:rPr>
          <w:rFonts w:ascii="Segoe UI" w:hAnsi="Segoe UI" w:cs="Segoe UI"/>
          <w:sz w:val="22"/>
          <w:szCs w:val="22"/>
          <w:lang w:val="it-IT"/>
        </w:rPr>
        <w:t xml:space="preserve">che suscitano 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 xml:space="preserve">interesse </w:t>
      </w:r>
      <w:r w:rsidR="005937FF" w:rsidRPr="0051432D">
        <w:rPr>
          <w:rFonts w:ascii="Segoe UI" w:hAnsi="Segoe UI" w:cs="Segoe UI"/>
          <w:sz w:val="22"/>
          <w:szCs w:val="22"/>
          <w:lang w:val="it-IT"/>
        </w:rPr>
        <w:t xml:space="preserve">a livello 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>mondiale</w:t>
      </w:r>
      <w:r w:rsidR="00CB3116" w:rsidRPr="0051432D">
        <w:rPr>
          <w:rFonts w:ascii="Segoe UI" w:hAnsi="Segoe UI" w:cs="Segoe UI"/>
          <w:sz w:val="22"/>
          <w:szCs w:val="22"/>
          <w:lang w:val="it-IT"/>
        </w:rPr>
        <w:t xml:space="preserve">. </w:t>
      </w:r>
    </w:p>
    <w:p w14:paraId="4A897C08" w14:textId="77777777" w:rsidR="00660E81" w:rsidRPr="0051432D" w:rsidRDefault="00660E81" w:rsidP="00660E81">
      <w:pPr>
        <w:pStyle w:val="ListParagraph"/>
        <w:rPr>
          <w:rFonts w:ascii="Segoe UI" w:hAnsi="Segoe UI" w:cs="Segoe UI"/>
          <w:b/>
          <w:sz w:val="22"/>
          <w:szCs w:val="22"/>
          <w:lang w:val="it-IT"/>
        </w:rPr>
      </w:pPr>
    </w:p>
    <w:p w14:paraId="57BE3EF8" w14:textId="005C9A56" w:rsidR="00CB3116" w:rsidRPr="0051432D" w:rsidRDefault="00095F43" w:rsidP="00660E81">
      <w:pPr>
        <w:pStyle w:val="ListParagraph"/>
        <w:numPr>
          <w:ilvl w:val="0"/>
          <w:numId w:val="1"/>
        </w:numPr>
        <w:ind w:left="714" w:hanging="357"/>
        <w:rPr>
          <w:rFonts w:ascii="Segoe UI" w:hAnsi="Segoe UI" w:cs="Segoe UI"/>
          <w:b/>
          <w:sz w:val="22"/>
          <w:szCs w:val="22"/>
          <w:lang w:val="it-IT"/>
        </w:rPr>
      </w:pPr>
      <w:r w:rsidRPr="0051432D">
        <w:rPr>
          <w:rFonts w:ascii="Segoe UI" w:hAnsi="Segoe UI" w:cs="Segoe UI"/>
          <w:b/>
          <w:sz w:val="22"/>
          <w:szCs w:val="22"/>
          <w:lang w:val="it-IT"/>
        </w:rPr>
        <w:t>Negli ultimi sei anni</w:t>
      </w:r>
      <w:r w:rsidR="00D04891" w:rsidRPr="0051432D">
        <w:rPr>
          <w:rFonts w:ascii="Segoe UI" w:hAnsi="Segoe UI" w:cs="Segoe UI"/>
          <w:b/>
          <w:sz w:val="22"/>
          <w:szCs w:val="22"/>
          <w:lang w:val="it-IT"/>
        </w:rPr>
        <w:t>,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 i</w:t>
      </w:r>
      <w:r w:rsidR="00CB3116" w:rsidRPr="0051432D">
        <w:rPr>
          <w:rFonts w:ascii="Segoe UI" w:hAnsi="Segoe UI" w:cs="Segoe UI"/>
          <w:b/>
          <w:sz w:val="22"/>
          <w:szCs w:val="22"/>
          <w:lang w:val="it-IT"/>
        </w:rPr>
        <w:t xml:space="preserve"> 15 maggiori club europei hanno </w:t>
      </w:r>
      <w:r w:rsidR="005C16E9" w:rsidRPr="0051432D">
        <w:rPr>
          <w:rFonts w:ascii="Segoe UI" w:hAnsi="Segoe UI" w:cs="Segoe UI"/>
          <w:b/>
          <w:sz w:val="22"/>
          <w:szCs w:val="22"/>
          <w:lang w:val="it-IT"/>
        </w:rPr>
        <w:t xml:space="preserve">totalizzato </w:t>
      </w:r>
      <w:r w:rsidR="00CB3116" w:rsidRPr="0051432D">
        <w:rPr>
          <w:rFonts w:ascii="Segoe UI" w:hAnsi="Segoe UI" w:cs="Segoe UI"/>
          <w:b/>
          <w:sz w:val="22"/>
          <w:szCs w:val="22"/>
          <w:lang w:val="it-IT"/>
        </w:rPr>
        <w:t>la</w:t>
      </w:r>
      <w:r w:rsidR="00C858B7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645814" w:rsidRPr="0051432D">
        <w:rPr>
          <w:rFonts w:ascii="Segoe UI" w:hAnsi="Segoe UI" w:cs="Segoe UI"/>
          <w:b/>
          <w:sz w:val="22"/>
          <w:szCs w:val="22"/>
          <w:lang w:val="it-IT"/>
        </w:rPr>
        <w:t>ragguardevole</w:t>
      </w:r>
      <w:r w:rsidR="00C858B7" w:rsidRPr="0051432D">
        <w:rPr>
          <w:rFonts w:ascii="Segoe UI" w:hAnsi="Segoe UI" w:cs="Segoe UI"/>
          <w:b/>
          <w:sz w:val="22"/>
          <w:szCs w:val="22"/>
          <w:lang w:val="it-IT"/>
        </w:rPr>
        <w:t xml:space="preserve"> cifra di 1</w:t>
      </w:r>
      <w:r w:rsidR="004D51CE">
        <w:rPr>
          <w:rFonts w:ascii="Segoe UI" w:hAnsi="Segoe UI" w:cs="Segoe UI"/>
          <w:b/>
          <w:sz w:val="22"/>
          <w:szCs w:val="22"/>
          <w:lang w:val="it-IT"/>
        </w:rPr>
        <w:t>.</w:t>
      </w:r>
      <w:r w:rsidR="00CB3116" w:rsidRPr="0051432D">
        <w:rPr>
          <w:rFonts w:ascii="Segoe UI" w:hAnsi="Segoe UI" w:cs="Segoe UI"/>
          <w:b/>
          <w:sz w:val="22"/>
          <w:szCs w:val="22"/>
          <w:lang w:val="it-IT"/>
        </w:rPr>
        <w:t>51</w:t>
      </w:r>
      <w:r w:rsidR="00222A48" w:rsidRPr="0051432D">
        <w:rPr>
          <w:rFonts w:ascii="Segoe UI" w:hAnsi="Segoe UI" w:cs="Segoe UI"/>
          <w:b/>
          <w:sz w:val="22"/>
          <w:szCs w:val="22"/>
          <w:lang w:val="it-IT"/>
        </w:rPr>
        <w:t>4</w:t>
      </w:r>
      <w:r w:rsidR="00CB3116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E5578A">
        <w:rPr>
          <w:rFonts w:ascii="Segoe UI" w:hAnsi="Segoe UI" w:cs="Segoe UI"/>
          <w:b/>
          <w:sz w:val="22"/>
          <w:szCs w:val="22"/>
          <w:lang w:val="it-IT"/>
        </w:rPr>
        <w:t>miliardi</w:t>
      </w:r>
      <w:r w:rsidR="00E5578A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CB3116" w:rsidRPr="0051432D">
        <w:rPr>
          <w:rFonts w:ascii="Segoe UI" w:hAnsi="Segoe UI" w:cs="Segoe UI"/>
          <w:b/>
          <w:sz w:val="22"/>
          <w:szCs w:val="22"/>
          <w:lang w:val="it-IT"/>
        </w:rPr>
        <w:t xml:space="preserve">di 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euro in </w:t>
      </w:r>
      <w:r w:rsidR="00CB3116" w:rsidRPr="0051432D">
        <w:rPr>
          <w:rFonts w:ascii="Segoe UI" w:hAnsi="Segoe UI" w:cs="Segoe UI"/>
          <w:b/>
          <w:sz w:val="22"/>
          <w:szCs w:val="22"/>
          <w:lang w:val="it-IT"/>
        </w:rPr>
        <w:t xml:space="preserve">sponsorizzazioni e </w:t>
      </w:r>
      <w:r w:rsidR="0090446D">
        <w:rPr>
          <w:rFonts w:ascii="Segoe UI" w:hAnsi="Segoe UI" w:cs="Segoe UI"/>
          <w:b/>
          <w:sz w:val="22"/>
          <w:szCs w:val="22"/>
          <w:lang w:val="it-IT"/>
        </w:rPr>
        <w:t>proventi</w:t>
      </w:r>
      <w:r w:rsidR="0090446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>commerciali (</w:t>
      </w:r>
      <w:r w:rsidR="00222A48" w:rsidRPr="0051432D">
        <w:rPr>
          <w:rFonts w:ascii="Segoe UI" w:hAnsi="Segoe UI" w:cs="Segoe UI"/>
          <w:b/>
          <w:sz w:val="22"/>
          <w:szCs w:val="22"/>
          <w:lang w:val="it-IT"/>
        </w:rPr>
        <w:t xml:space="preserve">con </w:t>
      </w:r>
      <w:r w:rsidR="0067542D" w:rsidRPr="0051432D">
        <w:rPr>
          <w:rFonts w:ascii="Segoe UI" w:hAnsi="Segoe UI" w:cs="Segoe UI"/>
          <w:b/>
          <w:sz w:val="22"/>
          <w:szCs w:val="22"/>
          <w:lang w:val="it-IT"/>
        </w:rPr>
        <w:t xml:space="preserve">un 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>incremento</w:t>
      </w:r>
      <w:r w:rsidR="0067542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del 148%) </w:t>
      </w:r>
      <w:r w:rsidR="005937FF" w:rsidRPr="0051432D">
        <w:rPr>
          <w:rFonts w:ascii="Segoe UI" w:hAnsi="Segoe UI" w:cs="Segoe UI"/>
          <w:b/>
          <w:sz w:val="22"/>
          <w:szCs w:val="22"/>
          <w:lang w:val="it-IT"/>
        </w:rPr>
        <w:t>a fronte de</w:t>
      </w:r>
      <w:r w:rsidR="00222A48" w:rsidRPr="0051432D">
        <w:rPr>
          <w:rFonts w:ascii="Segoe UI" w:hAnsi="Segoe UI" w:cs="Segoe UI"/>
          <w:b/>
          <w:sz w:val="22"/>
          <w:szCs w:val="22"/>
          <w:lang w:val="it-IT"/>
        </w:rPr>
        <w:t>i 453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 milioni di euro </w:t>
      </w:r>
      <w:r w:rsidR="005C16E9" w:rsidRPr="0051432D">
        <w:rPr>
          <w:rFonts w:ascii="Segoe UI" w:hAnsi="Segoe UI" w:cs="Segoe UI"/>
          <w:b/>
          <w:sz w:val="22"/>
          <w:szCs w:val="22"/>
          <w:lang w:val="it-IT"/>
        </w:rPr>
        <w:t>ottenuti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 da</w:t>
      </w:r>
      <w:r w:rsidR="0090446D">
        <w:rPr>
          <w:rFonts w:ascii="Segoe UI" w:hAnsi="Segoe UI" w:cs="Segoe UI"/>
          <w:b/>
          <w:sz w:val="22"/>
          <w:szCs w:val="22"/>
          <w:lang w:val="it-IT"/>
        </w:rPr>
        <w:t>gli</w:t>
      </w:r>
      <w:r w:rsidR="0067542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>altr</w:t>
      </w:r>
      <w:r w:rsidR="0090446D">
        <w:rPr>
          <w:rFonts w:ascii="Segoe UI" w:hAnsi="Segoe UI" w:cs="Segoe UI"/>
          <w:b/>
          <w:sz w:val="22"/>
          <w:szCs w:val="22"/>
          <w:lang w:val="it-IT"/>
        </w:rPr>
        <w:t>i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 circa </w:t>
      </w:r>
      <w:r w:rsidR="0067542D" w:rsidRPr="0051432D">
        <w:rPr>
          <w:rFonts w:ascii="Segoe UI" w:hAnsi="Segoe UI" w:cs="Segoe UI"/>
          <w:b/>
          <w:sz w:val="22"/>
          <w:szCs w:val="22"/>
          <w:lang w:val="it-IT"/>
        </w:rPr>
        <w:t xml:space="preserve">700 </w:t>
      </w:r>
      <w:r w:rsidR="0090446D">
        <w:rPr>
          <w:rFonts w:ascii="Segoe UI" w:hAnsi="Segoe UI" w:cs="Segoe UI"/>
          <w:b/>
          <w:sz w:val="22"/>
          <w:szCs w:val="22"/>
          <w:lang w:val="it-IT"/>
        </w:rPr>
        <w:t>club</w:t>
      </w:r>
      <w:r w:rsidR="0067542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>europe</w:t>
      </w:r>
      <w:r w:rsidR="0090446D">
        <w:rPr>
          <w:rFonts w:ascii="Segoe UI" w:hAnsi="Segoe UI" w:cs="Segoe UI"/>
          <w:b/>
          <w:sz w:val="22"/>
          <w:szCs w:val="22"/>
          <w:lang w:val="it-IT"/>
        </w:rPr>
        <w:t>i di massima divisione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 xml:space="preserve"> (</w:t>
      </w:r>
      <w:r w:rsidR="00222A48" w:rsidRPr="0051432D">
        <w:rPr>
          <w:rFonts w:ascii="Segoe UI" w:hAnsi="Segoe UI" w:cs="Segoe UI"/>
          <w:b/>
          <w:sz w:val="22"/>
          <w:szCs w:val="22"/>
          <w:lang w:val="it-IT"/>
        </w:rPr>
        <w:t xml:space="preserve">con </w:t>
      </w:r>
      <w:r w:rsidR="0067542D" w:rsidRPr="0051432D">
        <w:rPr>
          <w:rFonts w:ascii="Segoe UI" w:hAnsi="Segoe UI" w:cs="Segoe UI"/>
          <w:b/>
          <w:sz w:val="22"/>
          <w:szCs w:val="22"/>
          <w:lang w:val="it-IT"/>
        </w:rPr>
        <w:t xml:space="preserve">un </w:t>
      </w:r>
      <w:r w:rsidRPr="0051432D">
        <w:rPr>
          <w:rFonts w:ascii="Segoe UI" w:hAnsi="Segoe UI" w:cs="Segoe UI"/>
          <w:b/>
          <w:sz w:val="22"/>
          <w:szCs w:val="22"/>
          <w:lang w:val="it-IT"/>
        </w:rPr>
        <w:t>incremento</w:t>
      </w:r>
      <w:r w:rsidR="0067542D" w:rsidRPr="0051432D">
        <w:rPr>
          <w:rFonts w:ascii="Segoe UI" w:hAnsi="Segoe UI" w:cs="Segoe UI"/>
          <w:b/>
          <w:sz w:val="22"/>
          <w:szCs w:val="22"/>
          <w:lang w:val="it-IT"/>
        </w:rPr>
        <w:t xml:space="preserve"> del 17%).</w:t>
      </w:r>
    </w:p>
    <w:p w14:paraId="0317C5D2" w14:textId="41176EAA" w:rsidR="0067542D" w:rsidRPr="0051432D" w:rsidRDefault="004D51CE" w:rsidP="00F67536">
      <w:pPr>
        <w:pStyle w:val="ListParagraph"/>
        <w:numPr>
          <w:ilvl w:val="1"/>
          <w:numId w:val="1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Gli</w:t>
      </w:r>
      <w:r w:rsidR="0067542D" w:rsidRPr="0051432D">
        <w:rPr>
          <w:rFonts w:ascii="Segoe UI" w:hAnsi="Segoe UI" w:cs="Segoe UI"/>
          <w:sz w:val="22"/>
          <w:szCs w:val="22"/>
          <w:lang w:val="it-IT"/>
        </w:rPr>
        <w:t xml:space="preserve"> introiti </w:t>
      </w:r>
      <w:r w:rsidR="00222A48" w:rsidRPr="0051432D">
        <w:rPr>
          <w:rFonts w:ascii="Segoe UI" w:hAnsi="Segoe UI" w:cs="Segoe UI"/>
          <w:sz w:val="22"/>
          <w:szCs w:val="22"/>
          <w:lang w:val="it-IT"/>
        </w:rPr>
        <w:t xml:space="preserve">provenienti </w:t>
      </w:r>
      <w:r w:rsidR="0067542D" w:rsidRPr="0051432D">
        <w:rPr>
          <w:rFonts w:ascii="Segoe UI" w:hAnsi="Segoe UI" w:cs="Segoe UI"/>
          <w:sz w:val="22"/>
          <w:szCs w:val="22"/>
          <w:lang w:val="it-IT"/>
        </w:rPr>
        <w:t xml:space="preserve">da tutte le altre fonti, incluse le TV, 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>i</w:t>
      </w:r>
      <w:r w:rsidR="005937FF" w:rsidRPr="0051432D">
        <w:rPr>
          <w:rFonts w:ascii="Segoe UI" w:hAnsi="Segoe UI" w:cs="Segoe UI"/>
          <w:sz w:val="22"/>
          <w:szCs w:val="22"/>
          <w:lang w:val="it-IT"/>
        </w:rPr>
        <w:t xml:space="preserve"> premi in denaro della UEFA, </w:t>
      </w:r>
      <w:r w:rsidR="005C16E9" w:rsidRPr="0051432D">
        <w:rPr>
          <w:rFonts w:ascii="Segoe UI" w:hAnsi="Segoe UI" w:cs="Segoe UI"/>
          <w:sz w:val="22"/>
          <w:szCs w:val="22"/>
          <w:lang w:val="it-IT"/>
        </w:rPr>
        <w:t>gli incassi al botteghino</w:t>
      </w:r>
      <w:r w:rsidR="005937FF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 xml:space="preserve">e altre entrate, sono </w:t>
      </w:r>
      <w:r>
        <w:rPr>
          <w:rFonts w:ascii="Segoe UI" w:hAnsi="Segoe UI" w:cs="Segoe UI"/>
          <w:sz w:val="22"/>
          <w:szCs w:val="22"/>
          <w:lang w:val="it-IT"/>
        </w:rPr>
        <w:t xml:space="preserve">invece 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>cresciuti a un tasso simile per questi</w:t>
      </w:r>
      <w:r w:rsidR="0067542D" w:rsidRPr="0051432D">
        <w:rPr>
          <w:rFonts w:ascii="Segoe UI" w:hAnsi="Segoe UI" w:cs="Segoe UI"/>
          <w:sz w:val="22"/>
          <w:szCs w:val="22"/>
          <w:lang w:val="it-IT"/>
        </w:rPr>
        <w:t xml:space="preserve"> 15 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 xml:space="preserve">club </w:t>
      </w:r>
      <w:r w:rsidR="0067542D" w:rsidRPr="0051432D">
        <w:rPr>
          <w:rFonts w:ascii="Segoe UI" w:hAnsi="Segoe UI" w:cs="Segoe UI"/>
          <w:sz w:val="22"/>
          <w:szCs w:val="22"/>
          <w:lang w:val="it-IT"/>
        </w:rPr>
        <w:t xml:space="preserve">maggiori 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>(</w:t>
      </w:r>
      <w:r w:rsidR="00222A48" w:rsidRPr="0051432D">
        <w:rPr>
          <w:rFonts w:ascii="Segoe UI" w:hAnsi="Segoe UI" w:cs="Segoe UI"/>
          <w:sz w:val="22"/>
          <w:szCs w:val="22"/>
          <w:lang w:val="it-IT"/>
        </w:rPr>
        <w:t xml:space="preserve">con </w:t>
      </w:r>
      <w:r w:rsidR="005937FF" w:rsidRPr="0051432D">
        <w:rPr>
          <w:rFonts w:ascii="Segoe UI" w:hAnsi="Segoe UI" w:cs="Segoe UI"/>
          <w:sz w:val="22"/>
          <w:szCs w:val="22"/>
          <w:lang w:val="it-IT"/>
        </w:rPr>
        <w:t xml:space="preserve">una crescita del 45%) </w:t>
      </w:r>
      <w:r w:rsidR="00222A48" w:rsidRPr="0051432D">
        <w:rPr>
          <w:rFonts w:ascii="Segoe UI" w:hAnsi="Segoe UI" w:cs="Segoe UI"/>
          <w:sz w:val="22"/>
          <w:szCs w:val="22"/>
          <w:lang w:val="it-IT"/>
        </w:rPr>
        <w:t>e per g</w:t>
      </w:r>
      <w:r w:rsidR="0067542D" w:rsidRPr="0051432D">
        <w:rPr>
          <w:rFonts w:ascii="Segoe UI" w:hAnsi="Segoe UI" w:cs="Segoe UI"/>
          <w:sz w:val="22"/>
          <w:szCs w:val="22"/>
          <w:lang w:val="it-IT"/>
        </w:rPr>
        <w:t>li altri circa 700 club europei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 xml:space="preserve"> (</w:t>
      </w:r>
      <w:r w:rsidR="00222A48" w:rsidRPr="0051432D">
        <w:rPr>
          <w:rFonts w:ascii="Segoe UI" w:hAnsi="Segoe UI" w:cs="Segoe UI"/>
          <w:sz w:val="22"/>
          <w:szCs w:val="22"/>
          <w:lang w:val="it-IT"/>
        </w:rPr>
        <w:t xml:space="preserve">con </w:t>
      </w:r>
      <w:r w:rsidR="0067542D" w:rsidRPr="0051432D">
        <w:rPr>
          <w:rFonts w:ascii="Segoe UI" w:hAnsi="Segoe UI" w:cs="Segoe UI"/>
          <w:sz w:val="22"/>
          <w:szCs w:val="22"/>
          <w:lang w:val="it-IT"/>
        </w:rPr>
        <w:t>una crescita del 3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>7</w:t>
      </w:r>
      <w:r w:rsidR="005937FF" w:rsidRPr="0051432D">
        <w:rPr>
          <w:rFonts w:ascii="Segoe UI" w:hAnsi="Segoe UI" w:cs="Segoe UI"/>
          <w:sz w:val="22"/>
          <w:szCs w:val="22"/>
          <w:lang w:val="it-IT"/>
        </w:rPr>
        <w:t>%)</w:t>
      </w:r>
      <w:r w:rsidR="00E40B95">
        <w:rPr>
          <w:rFonts w:ascii="Segoe UI" w:hAnsi="Segoe UI" w:cs="Segoe UI"/>
          <w:sz w:val="22"/>
          <w:szCs w:val="22"/>
          <w:lang w:val="it-IT"/>
        </w:rPr>
        <w:t>.</w:t>
      </w:r>
    </w:p>
    <w:p w14:paraId="7B59B7E7" w14:textId="6140ABA2" w:rsidR="0067542D" w:rsidRPr="0051432D" w:rsidRDefault="0067542D" w:rsidP="00F67536">
      <w:pPr>
        <w:pStyle w:val="ListParagraph"/>
        <w:numPr>
          <w:ilvl w:val="1"/>
          <w:numId w:val="1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 xml:space="preserve">Per </w:t>
      </w:r>
      <w:r w:rsidR="00D85642" w:rsidRPr="0051432D">
        <w:rPr>
          <w:rFonts w:ascii="Segoe UI" w:hAnsi="Segoe UI" w:cs="Segoe UI"/>
          <w:sz w:val="22"/>
          <w:szCs w:val="22"/>
          <w:lang w:val="it-IT"/>
        </w:rPr>
        <w:t>i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9 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 xml:space="preserve">club </w:t>
      </w:r>
      <w:r w:rsidRPr="0051432D">
        <w:rPr>
          <w:rFonts w:ascii="Segoe UI" w:hAnsi="Segoe UI" w:cs="Segoe UI"/>
          <w:sz w:val="22"/>
          <w:szCs w:val="22"/>
          <w:lang w:val="it-IT"/>
        </w:rPr>
        <w:t>maggiori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9039CB">
        <w:rPr>
          <w:rFonts w:ascii="Segoe UI" w:hAnsi="Segoe UI" w:cs="Segoe UI"/>
          <w:sz w:val="22"/>
          <w:szCs w:val="22"/>
          <w:lang w:val="it-IT"/>
        </w:rPr>
        <w:t>i proventi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 xml:space="preserve"> commerciali e </w:t>
      </w:r>
      <w:r w:rsidR="009039CB">
        <w:rPr>
          <w:rFonts w:ascii="Segoe UI" w:hAnsi="Segoe UI" w:cs="Segoe UI"/>
          <w:sz w:val="22"/>
          <w:szCs w:val="22"/>
          <w:lang w:val="it-IT"/>
        </w:rPr>
        <w:t>da</w:t>
      </w:r>
      <w:r w:rsidR="009039CB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sponsorizzazioni superano adesso di gran lunga </w:t>
      </w:r>
      <w:r w:rsidR="00560521">
        <w:rPr>
          <w:rFonts w:ascii="Segoe UI" w:hAnsi="Segoe UI" w:cs="Segoe UI"/>
          <w:sz w:val="22"/>
          <w:szCs w:val="22"/>
          <w:lang w:val="it-IT"/>
        </w:rPr>
        <w:t>quell</w:t>
      </w:r>
      <w:r w:rsidR="00095F43" w:rsidRPr="0051432D">
        <w:rPr>
          <w:rFonts w:ascii="Segoe UI" w:hAnsi="Segoe UI" w:cs="Segoe UI"/>
          <w:sz w:val="22"/>
          <w:szCs w:val="22"/>
          <w:lang w:val="it-IT"/>
        </w:rPr>
        <w:t>i</w:t>
      </w:r>
      <w:r w:rsidR="00560521">
        <w:rPr>
          <w:rFonts w:ascii="Segoe UI" w:hAnsi="Segoe UI" w:cs="Segoe UI"/>
          <w:sz w:val="22"/>
          <w:szCs w:val="22"/>
          <w:lang w:val="it-IT"/>
        </w:rPr>
        <w:t xml:space="preserve"> da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diritti televisivi (di 1,6 volte). Per i rimanenti 30 maggiori club </w:t>
      </w:r>
      <w:r w:rsidR="004D51CE">
        <w:rPr>
          <w:rFonts w:ascii="Segoe UI" w:hAnsi="Segoe UI" w:cs="Segoe UI"/>
          <w:sz w:val="22"/>
          <w:szCs w:val="22"/>
          <w:lang w:val="it-IT"/>
        </w:rPr>
        <w:t>i proventi</w:t>
      </w:r>
      <w:r w:rsidR="004D51CE" w:rsidRPr="0051432D">
        <w:rPr>
          <w:rFonts w:ascii="Segoe UI" w:hAnsi="Segoe UI" w:cs="Segoe UI"/>
          <w:sz w:val="22"/>
          <w:szCs w:val="22"/>
          <w:lang w:val="it-IT"/>
        </w:rPr>
        <w:t xml:space="preserve"> commerciali e </w:t>
      </w:r>
      <w:r w:rsidR="004D51CE">
        <w:rPr>
          <w:rFonts w:ascii="Segoe UI" w:hAnsi="Segoe UI" w:cs="Segoe UI"/>
          <w:sz w:val="22"/>
          <w:szCs w:val="22"/>
          <w:lang w:val="it-IT"/>
        </w:rPr>
        <w:t>da</w:t>
      </w:r>
      <w:r w:rsidR="004D51CE" w:rsidRPr="0051432D">
        <w:rPr>
          <w:rFonts w:ascii="Segoe UI" w:hAnsi="Segoe UI" w:cs="Segoe UI"/>
          <w:sz w:val="22"/>
          <w:szCs w:val="22"/>
          <w:lang w:val="it-IT"/>
        </w:rPr>
        <w:t xml:space="preserve"> sponsorizzazioni </w:t>
      </w:r>
      <w:r w:rsidR="004D51CE">
        <w:rPr>
          <w:rFonts w:ascii="Segoe UI" w:hAnsi="Segoe UI" w:cs="Segoe UI"/>
          <w:sz w:val="22"/>
          <w:szCs w:val="22"/>
          <w:lang w:val="it-IT"/>
        </w:rPr>
        <w:t>sono ancora indietro rispetto</w:t>
      </w:r>
      <w:r w:rsidR="00373294">
        <w:rPr>
          <w:rFonts w:ascii="Segoe UI" w:hAnsi="Segoe UI" w:cs="Segoe UI"/>
          <w:sz w:val="22"/>
          <w:szCs w:val="22"/>
          <w:lang w:val="it-IT"/>
        </w:rPr>
        <w:t xml:space="preserve"> a quelli provenienti dai diritti televisivi</w:t>
      </w:r>
      <w:r w:rsidR="004D51CE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sz w:val="22"/>
          <w:szCs w:val="22"/>
          <w:lang w:val="it-IT"/>
        </w:rPr>
        <w:t>(0,7 volte).</w:t>
      </w:r>
    </w:p>
    <w:p w14:paraId="3BF11A9F" w14:textId="77777777" w:rsidR="00F67536" w:rsidRPr="0051432D" w:rsidRDefault="00F67536" w:rsidP="00F67536">
      <w:pPr>
        <w:ind w:left="1080"/>
        <w:rPr>
          <w:rFonts w:ascii="Segoe UI" w:hAnsi="Segoe UI" w:cs="Segoe UI"/>
          <w:b/>
          <w:i/>
          <w:sz w:val="22"/>
          <w:szCs w:val="22"/>
          <w:lang w:val="it-IT"/>
        </w:rPr>
      </w:pPr>
    </w:p>
    <w:p w14:paraId="5C514EE5" w14:textId="5AB5BD51" w:rsidR="00D85642" w:rsidRPr="0051432D" w:rsidRDefault="009E6C03" w:rsidP="00660E81">
      <w:pPr>
        <w:ind w:left="357"/>
        <w:rPr>
          <w:rFonts w:ascii="Segoe UI" w:hAnsi="Segoe UI" w:cs="Segoe UI"/>
          <w:i/>
          <w:sz w:val="22"/>
          <w:szCs w:val="22"/>
          <w:lang w:val="it-IT"/>
        </w:rPr>
      </w:pPr>
      <w:r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 </w:t>
      </w:r>
      <w:r w:rsidR="00D85642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(È importante notare che tale </w:t>
      </w:r>
      <w:r w:rsidR="005937FF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crescente </w:t>
      </w:r>
      <w:r w:rsidR="00D85642" w:rsidRPr="0051432D">
        <w:rPr>
          <w:rFonts w:ascii="Segoe UI" w:hAnsi="Segoe UI" w:cs="Segoe UI"/>
          <w:b/>
          <w:i/>
          <w:sz w:val="22"/>
          <w:szCs w:val="22"/>
          <w:lang w:val="it-IT"/>
        </w:rPr>
        <w:t>di</w:t>
      </w:r>
      <w:r w:rsidR="005937FF" w:rsidRPr="0051432D">
        <w:rPr>
          <w:rFonts w:ascii="Segoe UI" w:hAnsi="Segoe UI" w:cs="Segoe UI"/>
          <w:b/>
          <w:i/>
          <w:sz w:val="22"/>
          <w:szCs w:val="22"/>
          <w:lang w:val="it-IT"/>
        </w:rPr>
        <w:t>suguaglianza ne</w:t>
      </w:r>
      <w:r w:rsidR="00D85642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i </w:t>
      </w:r>
      <w:r w:rsidR="00850D54">
        <w:rPr>
          <w:rFonts w:ascii="Segoe UI" w:hAnsi="Segoe UI" w:cs="Segoe UI"/>
          <w:b/>
          <w:i/>
          <w:sz w:val="22"/>
          <w:szCs w:val="22"/>
          <w:lang w:val="it-IT"/>
        </w:rPr>
        <w:t>proventi</w:t>
      </w:r>
      <w:r w:rsidR="00850D54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 </w:t>
      </w:r>
      <w:r w:rsidR="00D85642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commerciali non è </w:t>
      </w:r>
      <w:r w:rsidR="002C4D41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una </w:t>
      </w:r>
      <w:r w:rsidR="00D85642" w:rsidRPr="0051432D">
        <w:rPr>
          <w:rFonts w:ascii="Segoe UI" w:hAnsi="Segoe UI" w:cs="Segoe UI"/>
          <w:b/>
          <w:i/>
          <w:sz w:val="22"/>
          <w:szCs w:val="22"/>
          <w:lang w:val="it-IT"/>
        </w:rPr>
        <w:t>conseguenza del fair play finanziario</w:t>
      </w:r>
      <w:r w:rsidR="002C4D41" w:rsidRPr="0051432D">
        <w:rPr>
          <w:rFonts w:ascii="Segoe UI" w:hAnsi="Segoe UI" w:cs="Segoe UI"/>
          <w:b/>
          <w:i/>
          <w:sz w:val="22"/>
          <w:szCs w:val="22"/>
          <w:lang w:val="it-IT"/>
        </w:rPr>
        <w:t>,</w:t>
      </w:r>
      <w:r w:rsidR="00D85642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 ma </w:t>
      </w:r>
      <w:r w:rsidR="002C4D41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il </w:t>
      </w:r>
      <w:r w:rsidR="00D85642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risultato </w:t>
      </w:r>
      <w:r w:rsidR="003F1B78" w:rsidRPr="0051432D">
        <w:rPr>
          <w:rFonts w:ascii="Segoe UI" w:hAnsi="Segoe UI" w:cs="Segoe UI"/>
          <w:b/>
          <w:i/>
          <w:sz w:val="22"/>
          <w:szCs w:val="22"/>
          <w:lang w:val="it-IT"/>
        </w:rPr>
        <w:t>del</w:t>
      </w:r>
      <w:r w:rsidR="003F1B78">
        <w:rPr>
          <w:rFonts w:ascii="Segoe UI" w:hAnsi="Segoe UI" w:cs="Segoe UI"/>
          <w:b/>
          <w:i/>
          <w:sz w:val="22"/>
          <w:szCs w:val="22"/>
          <w:lang w:val="it-IT"/>
        </w:rPr>
        <w:t>la crescente</w:t>
      </w:r>
      <w:r w:rsidR="003F1B78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 </w:t>
      </w:r>
      <w:r w:rsidR="002C4D41" w:rsidRPr="0051432D">
        <w:rPr>
          <w:rFonts w:ascii="Segoe UI" w:hAnsi="Segoe UI" w:cs="Segoe UI"/>
          <w:b/>
          <w:i/>
          <w:sz w:val="22"/>
          <w:szCs w:val="22"/>
          <w:lang w:val="it-IT"/>
        </w:rPr>
        <w:t>globalizzazione</w:t>
      </w:r>
      <w:r w:rsidR="005937FF" w:rsidRPr="0051432D">
        <w:rPr>
          <w:rFonts w:ascii="Segoe UI" w:hAnsi="Segoe UI" w:cs="Segoe UI"/>
          <w:b/>
          <w:i/>
          <w:sz w:val="22"/>
          <w:szCs w:val="22"/>
          <w:lang w:val="it-IT"/>
        </w:rPr>
        <w:t>, dell’aumento del</w:t>
      </w:r>
      <w:r w:rsidR="00D85642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lo sfruttamento commerciale del calcio per generare </w:t>
      </w:r>
      <w:r w:rsidR="00C858B7" w:rsidRPr="0051432D">
        <w:rPr>
          <w:rFonts w:ascii="Segoe UI" w:hAnsi="Segoe UI" w:cs="Segoe UI"/>
          <w:b/>
          <w:i/>
          <w:sz w:val="22"/>
          <w:szCs w:val="22"/>
          <w:lang w:val="it-IT"/>
        </w:rPr>
        <w:t>ricavi</w:t>
      </w:r>
      <w:r w:rsidR="00E12E5A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 </w:t>
      </w:r>
      <w:r w:rsidR="00D85642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e </w:t>
      </w:r>
      <w:r w:rsidR="002C4D41" w:rsidRPr="0051432D">
        <w:rPr>
          <w:rFonts w:ascii="Segoe UI" w:hAnsi="Segoe UI" w:cs="Segoe UI"/>
          <w:b/>
          <w:i/>
          <w:sz w:val="22"/>
          <w:szCs w:val="22"/>
          <w:lang w:val="it-IT"/>
        </w:rPr>
        <w:t>della capacità dei club di far leva su</w:t>
      </w:r>
      <w:r w:rsidR="00D85642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lla </w:t>
      </w:r>
      <w:r w:rsidR="002C4D41" w:rsidRPr="0051432D">
        <w:rPr>
          <w:rFonts w:ascii="Segoe UI" w:hAnsi="Segoe UI" w:cs="Segoe UI"/>
          <w:b/>
          <w:i/>
          <w:sz w:val="22"/>
          <w:szCs w:val="22"/>
          <w:lang w:val="it-IT"/>
        </w:rPr>
        <w:t>propria</w:t>
      </w:r>
      <w:r w:rsidR="00D85642" w:rsidRPr="0051432D">
        <w:rPr>
          <w:rFonts w:ascii="Segoe UI" w:hAnsi="Segoe UI" w:cs="Segoe UI"/>
          <w:b/>
          <w:i/>
          <w:sz w:val="22"/>
          <w:szCs w:val="22"/>
          <w:lang w:val="it-IT"/>
        </w:rPr>
        <w:t xml:space="preserve"> risonanza globale.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</w:t>
      </w:r>
      <w:r w:rsidR="002C4D41" w:rsidRPr="0051432D">
        <w:rPr>
          <w:rFonts w:ascii="Segoe UI" w:hAnsi="Segoe UI" w:cs="Segoe UI"/>
          <w:i/>
          <w:sz w:val="22"/>
          <w:szCs w:val="22"/>
          <w:lang w:val="it-IT"/>
        </w:rPr>
        <w:t>L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e sponsorizzazioni e i dipartimenti commerciali </w:t>
      </w:r>
      <w:r w:rsidR="002C4D41" w:rsidRPr="0051432D">
        <w:rPr>
          <w:rFonts w:ascii="Segoe UI" w:hAnsi="Segoe UI" w:cs="Segoe UI"/>
          <w:i/>
          <w:sz w:val="22"/>
          <w:szCs w:val="22"/>
          <w:lang w:val="it-IT"/>
        </w:rPr>
        <w:t xml:space="preserve">dei circa dodici </w:t>
      </w:r>
      <w:r w:rsidR="00CD6C5C">
        <w:rPr>
          <w:rFonts w:ascii="Segoe UI" w:hAnsi="Segoe UI" w:cs="Segoe UI"/>
          <w:i/>
          <w:sz w:val="22"/>
          <w:szCs w:val="22"/>
          <w:lang w:val="it-IT"/>
        </w:rPr>
        <w:t>"</w:t>
      </w:r>
      <w:r w:rsidR="002C4D41" w:rsidRPr="0051432D">
        <w:rPr>
          <w:rFonts w:ascii="Segoe UI" w:hAnsi="Segoe UI" w:cs="Segoe UI"/>
          <w:i/>
          <w:sz w:val="22"/>
          <w:szCs w:val="22"/>
          <w:lang w:val="it-IT"/>
        </w:rPr>
        <w:t xml:space="preserve">super club </w:t>
      </w:r>
      <w:r w:rsidR="00E12E5A" w:rsidRPr="0051432D">
        <w:rPr>
          <w:rFonts w:ascii="Segoe UI" w:hAnsi="Segoe UI" w:cs="Segoe UI"/>
          <w:i/>
          <w:sz w:val="22"/>
          <w:szCs w:val="22"/>
          <w:lang w:val="it-IT"/>
        </w:rPr>
        <w:t>mondiali</w:t>
      </w:r>
      <w:r w:rsidR="00CD6C5C">
        <w:rPr>
          <w:rFonts w:ascii="Segoe UI" w:hAnsi="Segoe UI" w:cs="Segoe UI"/>
          <w:i/>
          <w:sz w:val="22"/>
          <w:szCs w:val="22"/>
          <w:lang w:val="it-IT"/>
        </w:rPr>
        <w:t>"</w:t>
      </w:r>
      <w:r w:rsidR="002C4D41" w:rsidRPr="0051432D">
        <w:rPr>
          <w:rFonts w:ascii="Segoe UI" w:hAnsi="Segoe UI" w:cs="Segoe UI"/>
          <w:i/>
          <w:sz w:val="22"/>
          <w:szCs w:val="22"/>
          <w:lang w:val="it-IT"/>
        </w:rPr>
        <w:t xml:space="preserve"> 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sono in espansione e le partnership commerciali e di sponsorizzazione </w:t>
      </w:r>
      <w:r w:rsidR="00C858B7" w:rsidRPr="0051432D">
        <w:rPr>
          <w:rFonts w:ascii="Segoe UI" w:hAnsi="Segoe UI" w:cs="Segoe UI"/>
          <w:i/>
          <w:sz w:val="22"/>
          <w:szCs w:val="22"/>
          <w:lang w:val="it-IT"/>
        </w:rPr>
        <w:t>vengono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sempre più suddivise e segmentate in un numero ancor ma</w:t>
      </w:r>
      <w:r w:rsidR="002C4D41" w:rsidRPr="0051432D">
        <w:rPr>
          <w:rFonts w:ascii="Segoe UI" w:hAnsi="Segoe UI" w:cs="Segoe UI"/>
          <w:i/>
          <w:sz w:val="22"/>
          <w:szCs w:val="22"/>
          <w:lang w:val="it-IT"/>
        </w:rPr>
        <w:t>g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giore e più </w:t>
      </w:r>
      <w:r w:rsidR="00E12E5A" w:rsidRPr="0051432D">
        <w:rPr>
          <w:rFonts w:ascii="Segoe UI" w:hAnsi="Segoe UI" w:cs="Segoe UI"/>
          <w:i/>
          <w:sz w:val="22"/>
          <w:szCs w:val="22"/>
          <w:lang w:val="it-IT"/>
        </w:rPr>
        <w:t>redditizio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di </w:t>
      </w:r>
      <w:r w:rsidR="002C4D41" w:rsidRPr="0051432D">
        <w:rPr>
          <w:rFonts w:ascii="Segoe UI" w:hAnsi="Segoe UI" w:cs="Segoe UI"/>
          <w:i/>
          <w:sz w:val="22"/>
          <w:szCs w:val="22"/>
          <w:lang w:val="it-IT"/>
        </w:rPr>
        <w:t>contratti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>. C</w:t>
      </w:r>
      <w:r w:rsidR="002C4D41" w:rsidRPr="0051432D">
        <w:rPr>
          <w:rFonts w:ascii="Segoe UI" w:hAnsi="Segoe UI" w:cs="Segoe UI"/>
          <w:i/>
          <w:sz w:val="22"/>
          <w:szCs w:val="22"/>
          <w:lang w:val="it-IT"/>
        </w:rPr>
        <w:t>iò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permette a quei </w:t>
      </w:r>
      <w:r w:rsidR="00CD6C5C">
        <w:rPr>
          <w:rFonts w:ascii="Segoe UI" w:hAnsi="Segoe UI" w:cs="Segoe UI"/>
          <w:i/>
          <w:sz w:val="22"/>
          <w:szCs w:val="22"/>
          <w:lang w:val="it-IT"/>
        </w:rPr>
        <w:t>"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super club </w:t>
      </w:r>
      <w:r w:rsidR="00E12E5A" w:rsidRPr="0051432D">
        <w:rPr>
          <w:rFonts w:ascii="Segoe UI" w:hAnsi="Segoe UI" w:cs="Segoe UI"/>
          <w:i/>
          <w:sz w:val="22"/>
          <w:szCs w:val="22"/>
          <w:lang w:val="it-IT"/>
        </w:rPr>
        <w:t>mondiali</w:t>
      </w:r>
      <w:r w:rsidR="00CD6C5C">
        <w:rPr>
          <w:rFonts w:ascii="Segoe UI" w:hAnsi="Segoe UI" w:cs="Segoe UI"/>
          <w:i/>
          <w:sz w:val="22"/>
          <w:szCs w:val="22"/>
          <w:lang w:val="it-IT"/>
        </w:rPr>
        <w:t>"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di monetizzare </w:t>
      </w:r>
      <w:r w:rsidR="003F1B78">
        <w:rPr>
          <w:rFonts w:ascii="Segoe UI" w:hAnsi="Segoe UI" w:cs="Segoe UI"/>
          <w:i/>
          <w:sz w:val="22"/>
          <w:szCs w:val="22"/>
          <w:lang w:val="it-IT"/>
        </w:rPr>
        <w:t>le proprie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bas</w:t>
      </w:r>
      <w:r w:rsidR="003F1B78">
        <w:rPr>
          <w:rFonts w:ascii="Segoe UI" w:hAnsi="Segoe UI" w:cs="Segoe UI"/>
          <w:i/>
          <w:sz w:val="22"/>
          <w:szCs w:val="22"/>
          <w:lang w:val="it-IT"/>
        </w:rPr>
        <w:t>i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di sostenitori, che è diffus</w:t>
      </w:r>
      <w:r w:rsidR="003F1B78">
        <w:rPr>
          <w:rFonts w:ascii="Segoe UI" w:hAnsi="Segoe UI" w:cs="Segoe UI"/>
          <w:i/>
          <w:sz w:val="22"/>
          <w:szCs w:val="22"/>
          <w:lang w:val="it-IT"/>
        </w:rPr>
        <w:t>e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in tutto il pianeta e cui si può </w:t>
      </w:r>
      <w:r w:rsidR="003F1B78">
        <w:rPr>
          <w:rFonts w:ascii="Segoe UI" w:hAnsi="Segoe UI" w:cs="Segoe UI"/>
          <w:i/>
          <w:sz w:val="22"/>
          <w:szCs w:val="22"/>
          <w:lang w:val="it-IT"/>
        </w:rPr>
        <w:t>più facilmente accessibili grazie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</w:t>
      </w:r>
      <w:r w:rsidR="003F1B78">
        <w:rPr>
          <w:rFonts w:ascii="Segoe UI" w:hAnsi="Segoe UI" w:cs="Segoe UI"/>
          <w:i/>
          <w:sz w:val="22"/>
          <w:szCs w:val="22"/>
          <w:lang w:val="it-IT"/>
        </w:rPr>
        <w:t>a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i social media di quanto sia mai stato possibile </w:t>
      </w:r>
      <w:r w:rsidR="00471F43" w:rsidRPr="0051432D">
        <w:rPr>
          <w:rFonts w:ascii="Segoe UI" w:hAnsi="Segoe UI" w:cs="Segoe UI"/>
          <w:i/>
          <w:sz w:val="22"/>
          <w:szCs w:val="22"/>
          <w:lang w:val="it-IT"/>
        </w:rPr>
        <w:t>in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passato </w:t>
      </w:r>
      <w:r w:rsidR="003F1B78">
        <w:rPr>
          <w:rFonts w:ascii="Segoe UI" w:hAnsi="Segoe UI" w:cs="Segoe UI"/>
          <w:i/>
          <w:sz w:val="22"/>
          <w:szCs w:val="22"/>
          <w:lang w:val="it-IT"/>
        </w:rPr>
        <w:t>attraverso</w:t>
      </w:r>
      <w:r w:rsidR="003F1B78" w:rsidRPr="0051432D">
        <w:rPr>
          <w:rFonts w:ascii="Segoe UI" w:hAnsi="Segoe UI" w:cs="Segoe UI"/>
          <w:i/>
          <w:sz w:val="22"/>
          <w:szCs w:val="22"/>
          <w:lang w:val="it-IT"/>
        </w:rPr>
        <w:t xml:space="preserve"> </w:t>
      </w:r>
      <w:r w:rsidR="00E12E5A" w:rsidRPr="0051432D">
        <w:rPr>
          <w:rFonts w:ascii="Segoe UI" w:hAnsi="Segoe UI" w:cs="Segoe UI"/>
          <w:i/>
          <w:sz w:val="22"/>
          <w:szCs w:val="22"/>
          <w:lang w:val="it-IT"/>
        </w:rPr>
        <w:t xml:space="preserve">le 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>strategie di marketing</w:t>
      </w:r>
      <w:r w:rsidR="005937FF" w:rsidRPr="0051432D">
        <w:rPr>
          <w:rFonts w:ascii="Segoe UI" w:hAnsi="Segoe UI" w:cs="Segoe UI"/>
          <w:i/>
          <w:sz w:val="22"/>
          <w:szCs w:val="22"/>
          <w:lang w:val="it-IT"/>
        </w:rPr>
        <w:t xml:space="preserve"> tradizionali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>. Queste basi di sostenitori registrano un</w:t>
      </w:r>
      <w:r w:rsidR="002C4D41" w:rsidRPr="0051432D">
        <w:rPr>
          <w:rFonts w:ascii="Segoe UI" w:hAnsi="Segoe UI" w:cs="Segoe UI"/>
          <w:i/>
          <w:sz w:val="22"/>
          <w:szCs w:val="22"/>
          <w:lang w:val="it-IT"/>
        </w:rPr>
        <w:t xml:space="preserve">a crescita 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inesorabile, </w:t>
      </w:r>
      <w:r w:rsidR="00E12E5A" w:rsidRPr="0051432D">
        <w:rPr>
          <w:rFonts w:ascii="Segoe UI" w:hAnsi="Segoe UI" w:cs="Segoe UI"/>
          <w:i/>
          <w:sz w:val="22"/>
          <w:szCs w:val="22"/>
          <w:lang w:val="it-IT"/>
        </w:rPr>
        <w:t>stimolata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dai giocatori più in vista, dai tour mondiali e dalla partecipazione regolare </w:t>
      </w:r>
      <w:r w:rsidR="00567086" w:rsidRPr="0051432D">
        <w:rPr>
          <w:rFonts w:ascii="Segoe UI" w:hAnsi="Segoe UI" w:cs="Segoe UI"/>
          <w:i/>
          <w:sz w:val="22"/>
          <w:szCs w:val="22"/>
          <w:lang w:val="it-IT"/>
        </w:rPr>
        <w:t>a</w:t>
      </w:r>
      <w:r w:rsidR="00471F43" w:rsidRPr="0051432D">
        <w:rPr>
          <w:rFonts w:ascii="Segoe UI" w:hAnsi="Segoe UI" w:cs="Segoe UI"/>
          <w:i/>
          <w:sz w:val="22"/>
          <w:szCs w:val="22"/>
          <w:lang w:val="it-IT"/>
        </w:rPr>
        <w:t>lle fasi a gironi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 xml:space="preserve"> della </w:t>
      </w:r>
      <w:r w:rsidR="00A956BF">
        <w:rPr>
          <w:rFonts w:ascii="Segoe UI" w:hAnsi="Segoe UI" w:cs="Segoe UI"/>
          <w:i/>
          <w:sz w:val="22"/>
          <w:szCs w:val="22"/>
          <w:lang w:val="it-IT"/>
        </w:rPr>
        <w:t xml:space="preserve">UEFA </w:t>
      </w:r>
      <w:r w:rsidR="00D85642" w:rsidRPr="0051432D">
        <w:rPr>
          <w:rFonts w:ascii="Segoe UI" w:hAnsi="Segoe UI" w:cs="Segoe UI"/>
          <w:i/>
          <w:sz w:val="22"/>
          <w:szCs w:val="22"/>
          <w:lang w:val="it-IT"/>
        </w:rPr>
        <w:t>Champions League)</w:t>
      </w:r>
      <w:r w:rsidR="00A956BF">
        <w:rPr>
          <w:rFonts w:ascii="Segoe UI" w:hAnsi="Segoe UI" w:cs="Segoe UI"/>
          <w:i/>
          <w:sz w:val="22"/>
          <w:szCs w:val="22"/>
          <w:lang w:val="it-IT"/>
        </w:rPr>
        <w:t>.</w:t>
      </w:r>
    </w:p>
    <w:p w14:paraId="364C9F27" w14:textId="77777777" w:rsidR="000A2397" w:rsidRPr="0051432D" w:rsidRDefault="000A2397" w:rsidP="00660E81">
      <w:pPr>
        <w:ind w:left="357"/>
        <w:rPr>
          <w:rFonts w:ascii="Segoe UI" w:hAnsi="Segoe UI" w:cs="Segoe UI"/>
          <w:sz w:val="22"/>
          <w:szCs w:val="22"/>
          <w:lang w:val="it-IT"/>
        </w:rPr>
      </w:pPr>
    </w:p>
    <w:p w14:paraId="0AB30C35" w14:textId="77777777" w:rsidR="00D85642" w:rsidRPr="0051432D" w:rsidRDefault="00D85642" w:rsidP="000A2397">
      <w:pPr>
        <w:jc w:val="center"/>
        <w:rPr>
          <w:rFonts w:ascii="Segoe UI" w:hAnsi="Segoe UI" w:cs="Segoe UI"/>
          <w:b/>
          <w:sz w:val="22"/>
          <w:szCs w:val="22"/>
          <w:u w:val="single"/>
          <w:lang w:val="it-IT"/>
        </w:rPr>
      </w:pPr>
      <w:r w:rsidRPr="0051432D">
        <w:rPr>
          <w:rFonts w:ascii="Segoe UI" w:hAnsi="Segoe UI" w:cs="Segoe UI"/>
          <w:b/>
          <w:sz w:val="22"/>
          <w:szCs w:val="22"/>
          <w:u w:val="single"/>
          <w:lang w:val="it-IT"/>
        </w:rPr>
        <w:t xml:space="preserve">Altre tendenze </w:t>
      </w:r>
      <w:r w:rsidR="002C4D41" w:rsidRPr="0051432D">
        <w:rPr>
          <w:rFonts w:ascii="Segoe UI" w:hAnsi="Segoe UI" w:cs="Segoe UI"/>
          <w:b/>
          <w:sz w:val="22"/>
          <w:szCs w:val="22"/>
          <w:u w:val="single"/>
          <w:lang w:val="it-IT"/>
        </w:rPr>
        <w:t>individuate</w:t>
      </w:r>
      <w:r w:rsidRPr="0051432D">
        <w:rPr>
          <w:rFonts w:ascii="Segoe UI" w:hAnsi="Segoe UI" w:cs="Segoe UI"/>
          <w:b/>
          <w:sz w:val="22"/>
          <w:szCs w:val="22"/>
          <w:u w:val="single"/>
          <w:lang w:val="it-IT"/>
        </w:rPr>
        <w:t xml:space="preserve"> e documentate nella relazione</w:t>
      </w:r>
    </w:p>
    <w:p w14:paraId="11E7F246" w14:textId="77777777" w:rsidR="000355FC" w:rsidRPr="0051432D" w:rsidRDefault="000355FC" w:rsidP="000355FC">
      <w:pPr>
        <w:rPr>
          <w:rFonts w:ascii="Segoe UI" w:hAnsi="Segoe UI" w:cs="Segoe UI"/>
          <w:sz w:val="22"/>
          <w:szCs w:val="22"/>
          <w:lang w:val="it-IT"/>
        </w:rPr>
      </w:pPr>
    </w:p>
    <w:p w14:paraId="3CF659CD" w14:textId="77777777" w:rsidR="00D85642" w:rsidRPr="0051432D" w:rsidRDefault="00D85642" w:rsidP="000355FC">
      <w:p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i/>
          <w:sz w:val="22"/>
          <w:szCs w:val="22"/>
          <w:lang w:val="it-IT"/>
        </w:rPr>
        <w:t>Gove</w:t>
      </w:r>
      <w:r w:rsidR="00E12E5A" w:rsidRPr="0051432D">
        <w:rPr>
          <w:rFonts w:ascii="Segoe UI" w:hAnsi="Segoe UI" w:cs="Segoe UI"/>
          <w:i/>
          <w:sz w:val="22"/>
          <w:szCs w:val="22"/>
          <w:lang w:val="it-IT"/>
        </w:rPr>
        <w:t>r</w:t>
      </w:r>
      <w:r w:rsidRPr="0051432D">
        <w:rPr>
          <w:rFonts w:ascii="Segoe UI" w:hAnsi="Segoe UI" w:cs="Segoe UI"/>
          <w:i/>
          <w:sz w:val="22"/>
          <w:szCs w:val="22"/>
          <w:lang w:val="it-IT"/>
        </w:rPr>
        <w:t>nance e struttura del calcio nazionale</w:t>
      </w:r>
    </w:p>
    <w:p w14:paraId="14A5C627" w14:textId="26FCFD32" w:rsidR="00B2500A" w:rsidRPr="0051432D" w:rsidRDefault="00B2500A" w:rsidP="00EB6ABD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 xml:space="preserve">Sono </w:t>
      </w:r>
      <w:r w:rsidR="002C4D41" w:rsidRPr="0051432D">
        <w:rPr>
          <w:rFonts w:ascii="Segoe UI" w:hAnsi="Segoe UI" w:cs="Segoe UI"/>
          <w:sz w:val="22"/>
          <w:szCs w:val="22"/>
          <w:lang w:val="it-IT"/>
        </w:rPr>
        <w:t xml:space="preserve">sempre più diffuse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le restrizioni dei prestiti (adottate da 15 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>campionati</w:t>
      </w:r>
      <w:r w:rsidRPr="0051432D">
        <w:rPr>
          <w:rFonts w:ascii="Segoe UI" w:hAnsi="Segoe UI" w:cs="Segoe UI"/>
          <w:sz w:val="22"/>
          <w:szCs w:val="22"/>
          <w:lang w:val="it-IT"/>
        </w:rPr>
        <w:t>)</w:t>
      </w:r>
      <w:r w:rsidR="002C4D41" w:rsidRPr="0051432D">
        <w:rPr>
          <w:rFonts w:ascii="Segoe UI" w:hAnsi="Segoe UI" w:cs="Segoe UI"/>
          <w:sz w:val="22"/>
          <w:szCs w:val="22"/>
          <w:lang w:val="it-IT"/>
        </w:rPr>
        <w:t>,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considerate un mezzo per prevenire l’accaparramento dei giocatori e/o </w:t>
      </w:r>
      <w:r w:rsidR="002C4D41" w:rsidRPr="0051432D">
        <w:rPr>
          <w:rFonts w:ascii="Segoe UI" w:hAnsi="Segoe UI" w:cs="Segoe UI"/>
          <w:sz w:val="22"/>
          <w:szCs w:val="22"/>
          <w:lang w:val="it-IT"/>
        </w:rPr>
        <w:t>proteggere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l’</w:t>
      </w:r>
      <w:r w:rsidR="002C4D41" w:rsidRPr="0051432D">
        <w:rPr>
          <w:rFonts w:ascii="Segoe UI" w:hAnsi="Segoe UI" w:cs="Segoe UI"/>
          <w:sz w:val="22"/>
          <w:szCs w:val="22"/>
          <w:lang w:val="it-IT"/>
        </w:rPr>
        <w:t>integrità delle competizioni;</w:t>
      </w:r>
    </w:p>
    <w:p w14:paraId="06952CB3" w14:textId="375423A6" w:rsidR="00B2500A" w:rsidRPr="0051432D" w:rsidRDefault="007F3E8D" w:rsidP="00EB6ABD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lastRenderedPageBreak/>
        <w:t>i</w:t>
      </w:r>
      <w:r w:rsidR="009E6C03" w:rsidRPr="0051432D">
        <w:rPr>
          <w:rFonts w:ascii="Segoe UI" w:hAnsi="Segoe UI" w:cs="Segoe UI"/>
          <w:sz w:val="22"/>
          <w:szCs w:val="22"/>
          <w:lang w:val="it-IT"/>
        </w:rPr>
        <w:t xml:space="preserve"> limiti </w:t>
      </w:r>
      <w:r w:rsidR="00085B0C">
        <w:rPr>
          <w:rFonts w:ascii="Segoe UI" w:hAnsi="Segoe UI" w:cs="Segoe UI"/>
          <w:sz w:val="22"/>
          <w:szCs w:val="22"/>
          <w:lang w:val="it-IT"/>
        </w:rPr>
        <w:t xml:space="preserve">alle rose </w:t>
      </w:r>
      <w:r w:rsidR="002C4D41" w:rsidRPr="0051432D">
        <w:rPr>
          <w:rFonts w:ascii="Segoe UI" w:hAnsi="Segoe UI" w:cs="Segoe UI"/>
          <w:sz w:val="22"/>
          <w:szCs w:val="22"/>
          <w:lang w:val="it-IT"/>
        </w:rPr>
        <w:t>sono ora comun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i in tutta Europa (28 </w:t>
      </w:r>
      <w:r w:rsidR="004C17EA">
        <w:rPr>
          <w:rFonts w:ascii="Segoe UI" w:hAnsi="Segoe UI" w:cs="Segoe UI"/>
          <w:sz w:val="22"/>
          <w:szCs w:val="22"/>
          <w:lang w:val="it-IT"/>
        </w:rPr>
        <w:t>p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>aesi)</w:t>
      </w:r>
      <w:r w:rsidR="00E259AD" w:rsidRPr="0051432D">
        <w:rPr>
          <w:rFonts w:ascii="Segoe UI" w:hAnsi="Segoe UI" w:cs="Segoe UI"/>
          <w:sz w:val="22"/>
          <w:szCs w:val="22"/>
          <w:lang w:val="it-IT"/>
        </w:rPr>
        <w:t>,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ma non esiste un approccio comune (sono state identificate 15 varianti);</w:t>
      </w:r>
    </w:p>
    <w:p w14:paraId="798AC30C" w14:textId="31E85E57" w:rsidR="00B2500A" w:rsidRPr="0051432D" w:rsidRDefault="00B2500A" w:rsidP="00EB6ABD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>52 coppe nazionali non</w:t>
      </w:r>
      <w:r w:rsidR="002C4D41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usano più </w:t>
      </w:r>
      <w:r w:rsidR="007039A5" w:rsidRPr="0051432D">
        <w:rPr>
          <w:rFonts w:ascii="Segoe UI" w:hAnsi="Segoe UI" w:cs="Segoe UI"/>
          <w:sz w:val="22"/>
          <w:szCs w:val="22"/>
          <w:lang w:val="it-IT"/>
        </w:rPr>
        <w:t>rigiocare</w:t>
      </w:r>
      <w:r w:rsidR="00A01D70" w:rsidRPr="0051432D">
        <w:rPr>
          <w:rFonts w:ascii="Segoe UI" w:hAnsi="Segoe UI" w:cs="Segoe UI"/>
          <w:sz w:val="22"/>
          <w:szCs w:val="22"/>
          <w:lang w:val="it-IT"/>
        </w:rPr>
        <w:t xml:space="preserve"> le partite</w:t>
      </w:r>
      <w:r w:rsidR="007039A5" w:rsidRPr="0051432D">
        <w:rPr>
          <w:rFonts w:ascii="Segoe UI" w:hAnsi="Segoe UI" w:cs="Segoe UI"/>
          <w:sz w:val="22"/>
          <w:szCs w:val="22"/>
          <w:lang w:val="it-IT"/>
        </w:rPr>
        <w:t xml:space="preserve"> finite</w:t>
      </w:r>
      <w:r w:rsidR="00A01D70" w:rsidRPr="0051432D">
        <w:rPr>
          <w:rFonts w:ascii="Segoe UI" w:hAnsi="Segoe UI" w:cs="Segoe UI"/>
          <w:sz w:val="22"/>
          <w:szCs w:val="22"/>
          <w:lang w:val="it-IT"/>
        </w:rPr>
        <w:t xml:space="preserve"> in pareggio</w:t>
      </w:r>
      <w:r w:rsidR="002C4D41" w:rsidRPr="0051432D">
        <w:rPr>
          <w:rFonts w:ascii="Segoe UI" w:hAnsi="Segoe UI" w:cs="Segoe UI"/>
          <w:sz w:val="22"/>
          <w:szCs w:val="22"/>
          <w:lang w:val="it-IT"/>
        </w:rPr>
        <w:t>, a eccezione di Inghilterra,</w:t>
      </w:r>
      <w:r w:rsidR="001A2D83">
        <w:rPr>
          <w:rFonts w:ascii="Segoe UI" w:hAnsi="Segoe UI" w:cs="Segoe UI"/>
          <w:sz w:val="22"/>
          <w:szCs w:val="22"/>
          <w:lang w:val="it-IT"/>
        </w:rPr>
        <w:t xml:space="preserve"> Repubblica d'</w:t>
      </w:r>
      <w:r w:rsidRPr="0051432D">
        <w:rPr>
          <w:rFonts w:ascii="Segoe UI" w:hAnsi="Segoe UI" w:cs="Segoe UI"/>
          <w:sz w:val="22"/>
          <w:szCs w:val="22"/>
          <w:lang w:val="it-IT"/>
        </w:rPr>
        <w:t>Irl</w:t>
      </w:r>
      <w:r w:rsidR="002C4D41" w:rsidRPr="0051432D">
        <w:rPr>
          <w:rFonts w:ascii="Segoe UI" w:hAnsi="Segoe UI" w:cs="Segoe UI"/>
          <w:sz w:val="22"/>
          <w:szCs w:val="22"/>
          <w:lang w:val="it-IT"/>
        </w:rPr>
        <w:t>anda e Scozia</w:t>
      </w:r>
      <w:r w:rsidRPr="0051432D">
        <w:rPr>
          <w:rFonts w:ascii="Segoe UI" w:hAnsi="Segoe UI" w:cs="Segoe UI"/>
          <w:sz w:val="22"/>
          <w:szCs w:val="22"/>
          <w:lang w:val="it-IT"/>
        </w:rPr>
        <w:t>;</w:t>
      </w:r>
    </w:p>
    <w:p w14:paraId="7BCEFE6C" w14:textId="39805CEF" w:rsidR="00B2500A" w:rsidRPr="0051432D" w:rsidRDefault="007F3E8D" w:rsidP="00EB6ABD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a</w:t>
      </w:r>
      <w:r w:rsidR="00A01D70" w:rsidRPr="0051432D">
        <w:rPr>
          <w:rFonts w:ascii="Segoe UI" w:hAnsi="Segoe UI" w:cs="Segoe UI"/>
          <w:sz w:val="22"/>
          <w:szCs w:val="22"/>
          <w:lang w:val="it-IT"/>
        </w:rPr>
        <w:t xml:space="preserve"> causa della pressione de</w:t>
      </w:r>
      <w:r w:rsidR="004B44B7">
        <w:rPr>
          <w:rFonts w:ascii="Segoe UI" w:hAnsi="Segoe UI" w:cs="Segoe UI"/>
          <w:sz w:val="22"/>
          <w:szCs w:val="22"/>
          <w:lang w:val="it-IT"/>
        </w:rPr>
        <w:t>gli eventi sportivi</w:t>
      </w:r>
      <w:r w:rsidR="00A01D70" w:rsidRPr="0051432D">
        <w:rPr>
          <w:rFonts w:ascii="Segoe UI" w:hAnsi="Segoe UI" w:cs="Segoe UI"/>
          <w:sz w:val="22"/>
          <w:szCs w:val="22"/>
          <w:lang w:val="it-IT"/>
        </w:rPr>
        <w:t xml:space="preserve">, 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solo 11 dei 55 </w:t>
      </w:r>
      <w:r>
        <w:rPr>
          <w:rFonts w:ascii="Segoe UI" w:hAnsi="Segoe UI" w:cs="Segoe UI"/>
          <w:sz w:val="22"/>
          <w:szCs w:val="22"/>
          <w:lang w:val="it-IT"/>
        </w:rPr>
        <w:t>p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>aesi europei hanno un</w:t>
      </w:r>
      <w:r w:rsidR="002D3D76">
        <w:rPr>
          <w:rFonts w:ascii="Segoe UI" w:hAnsi="Segoe UI" w:cs="Segoe UI"/>
          <w:sz w:val="22"/>
          <w:szCs w:val="22"/>
          <w:lang w:val="it-IT"/>
        </w:rPr>
        <w:t>a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second</w:t>
      </w:r>
      <w:r w:rsidR="002D3D76">
        <w:rPr>
          <w:rFonts w:ascii="Segoe UI" w:hAnsi="Segoe UI" w:cs="Segoe UI"/>
          <w:sz w:val="22"/>
          <w:szCs w:val="22"/>
          <w:lang w:val="it-IT"/>
        </w:rPr>
        <w:t>a competizione di coppa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nazionale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>;</w:t>
      </w:r>
    </w:p>
    <w:p w14:paraId="521382FD" w14:textId="6A3F7F7B" w:rsidR="00B2500A" w:rsidRPr="0051432D" w:rsidRDefault="007F3E8D" w:rsidP="00EB6ABD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è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 xml:space="preserve"> diffusa la presenza di</w:t>
      </w:r>
      <w:r w:rsidR="00A01D70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5C16E9" w:rsidRPr="0051432D">
        <w:rPr>
          <w:rFonts w:ascii="Segoe UI" w:hAnsi="Segoe UI" w:cs="Segoe UI"/>
          <w:sz w:val="22"/>
          <w:szCs w:val="22"/>
          <w:lang w:val="it-IT"/>
        </w:rPr>
        <w:t>norme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A01D70" w:rsidRPr="0051432D">
        <w:rPr>
          <w:rFonts w:ascii="Segoe UI" w:hAnsi="Segoe UI" w:cs="Segoe UI"/>
          <w:sz w:val="22"/>
          <w:szCs w:val="22"/>
          <w:lang w:val="it-IT"/>
        </w:rPr>
        <w:t>specifiche per giocatori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allenati a </w:t>
      </w:r>
      <w:r w:rsidR="00A01D70" w:rsidRPr="0051432D">
        <w:rPr>
          <w:rFonts w:ascii="Segoe UI" w:hAnsi="Segoe UI" w:cs="Segoe UI"/>
          <w:sz w:val="22"/>
          <w:szCs w:val="22"/>
          <w:lang w:val="it-IT"/>
        </w:rPr>
        <w:t>l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ivello locale (23 </w:t>
      </w:r>
      <w:r>
        <w:rPr>
          <w:rFonts w:ascii="Segoe UI" w:hAnsi="Segoe UI" w:cs="Segoe UI"/>
          <w:sz w:val="22"/>
          <w:szCs w:val="22"/>
          <w:lang w:val="it-IT"/>
        </w:rPr>
        <w:t>p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aesi) e 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 xml:space="preserve">di </w:t>
      </w:r>
      <w:r>
        <w:rPr>
          <w:rFonts w:ascii="Segoe UI" w:hAnsi="Segoe UI" w:cs="Segoe UI"/>
          <w:sz w:val="22"/>
          <w:szCs w:val="22"/>
          <w:lang w:val="it-IT"/>
        </w:rPr>
        <w:t>norme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A01D70" w:rsidRPr="0051432D">
        <w:rPr>
          <w:rFonts w:ascii="Segoe UI" w:hAnsi="Segoe UI" w:cs="Segoe UI"/>
          <w:sz w:val="22"/>
          <w:szCs w:val="22"/>
          <w:lang w:val="it-IT"/>
        </w:rPr>
        <w:t>nazionali</w:t>
      </w:r>
      <w:r w:rsidR="00AA4215" w:rsidRPr="0051432D">
        <w:rPr>
          <w:rFonts w:ascii="Segoe UI" w:hAnsi="Segoe UI" w:cs="Segoe UI"/>
          <w:sz w:val="22"/>
          <w:szCs w:val="22"/>
          <w:lang w:val="it-IT"/>
        </w:rPr>
        <w:t xml:space="preserve"> (38 </w:t>
      </w:r>
      <w:r>
        <w:rPr>
          <w:rFonts w:ascii="Segoe UI" w:hAnsi="Segoe UI" w:cs="Segoe UI"/>
          <w:sz w:val="22"/>
          <w:szCs w:val="22"/>
          <w:lang w:val="it-IT"/>
        </w:rPr>
        <w:t>p</w:t>
      </w:r>
      <w:r w:rsidR="00AA4215" w:rsidRPr="0051432D">
        <w:rPr>
          <w:rFonts w:ascii="Segoe UI" w:hAnsi="Segoe UI" w:cs="Segoe UI"/>
          <w:sz w:val="22"/>
          <w:szCs w:val="22"/>
          <w:lang w:val="it-IT"/>
        </w:rPr>
        <w:t>aesi), con molte variant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>i</w:t>
      </w:r>
      <w:r w:rsidR="001A2D83">
        <w:rPr>
          <w:rFonts w:ascii="Segoe UI" w:hAnsi="Segoe UI" w:cs="Segoe UI"/>
          <w:sz w:val="22"/>
          <w:szCs w:val="22"/>
          <w:lang w:val="it-IT"/>
        </w:rPr>
        <w:t>.</w:t>
      </w:r>
    </w:p>
    <w:p w14:paraId="51950A43" w14:textId="77777777" w:rsidR="00EB6ABD" w:rsidRPr="0051432D" w:rsidRDefault="00EB6ABD" w:rsidP="00980D62">
      <w:pPr>
        <w:rPr>
          <w:rFonts w:ascii="Segoe UI" w:hAnsi="Segoe UI" w:cs="Segoe UI"/>
          <w:sz w:val="22"/>
          <w:szCs w:val="22"/>
          <w:lang w:val="it-IT"/>
        </w:rPr>
      </w:pPr>
    </w:p>
    <w:p w14:paraId="65559C5D" w14:textId="77777777" w:rsidR="00B2500A" w:rsidRPr="0051432D" w:rsidRDefault="00B2500A" w:rsidP="00980D62">
      <w:pPr>
        <w:rPr>
          <w:rFonts w:ascii="Segoe UI" w:hAnsi="Segoe UI" w:cs="Segoe UI"/>
          <w:i/>
          <w:sz w:val="22"/>
          <w:szCs w:val="22"/>
          <w:lang w:val="it-IT"/>
        </w:rPr>
      </w:pPr>
      <w:r w:rsidRPr="0051432D">
        <w:rPr>
          <w:rFonts w:ascii="Segoe UI" w:hAnsi="Segoe UI" w:cs="Segoe UI"/>
          <w:i/>
          <w:sz w:val="22"/>
          <w:szCs w:val="22"/>
          <w:lang w:val="it-IT"/>
        </w:rPr>
        <w:t>Allenatori e giocatori</w:t>
      </w:r>
    </w:p>
    <w:p w14:paraId="17FC3713" w14:textId="5F86CE64" w:rsidR="00B2500A" w:rsidRPr="0051432D" w:rsidRDefault="00B72FEB" w:rsidP="00980D62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I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>n ciascuno dei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60 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 xml:space="preserve">campionati europei analizzati </w:t>
      </w:r>
      <w:r w:rsidR="00B256C2">
        <w:rPr>
          <w:rFonts w:ascii="Segoe UI" w:hAnsi="Segoe UI" w:cs="Segoe UI"/>
          <w:sz w:val="22"/>
          <w:szCs w:val="22"/>
          <w:lang w:val="it-IT"/>
        </w:rPr>
        <w:t>nella presente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relazione</w:t>
      </w:r>
      <w:r>
        <w:rPr>
          <w:rFonts w:ascii="Segoe UI" w:hAnsi="Segoe UI" w:cs="Segoe UI"/>
          <w:sz w:val="22"/>
          <w:szCs w:val="22"/>
          <w:lang w:val="it-IT"/>
        </w:rPr>
        <w:t xml:space="preserve"> è stato sostituito a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lmeno un </w:t>
      </w:r>
      <w:r>
        <w:rPr>
          <w:rFonts w:ascii="Segoe UI" w:hAnsi="Segoe UI" w:cs="Segoe UI"/>
          <w:sz w:val="22"/>
          <w:szCs w:val="22"/>
          <w:lang w:val="it-IT"/>
        </w:rPr>
        <w:t>allenatore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>;</w:t>
      </w:r>
    </w:p>
    <w:p w14:paraId="50D529CA" w14:textId="5EBDB98F" w:rsidR="00B2500A" w:rsidRPr="0051432D" w:rsidRDefault="00942281" w:rsidP="00980D62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l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>a percentua</w:t>
      </w:r>
      <w:r w:rsidR="00A01D70" w:rsidRPr="0051432D">
        <w:rPr>
          <w:rFonts w:ascii="Segoe UI" w:hAnsi="Segoe UI" w:cs="Segoe UI"/>
          <w:sz w:val="22"/>
          <w:szCs w:val="22"/>
          <w:lang w:val="it-IT"/>
        </w:rPr>
        <w:t>l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e </w:t>
      </w:r>
      <w:r w:rsidR="005D0968">
        <w:rPr>
          <w:rFonts w:ascii="Segoe UI" w:hAnsi="Segoe UI" w:cs="Segoe UI"/>
          <w:sz w:val="22"/>
          <w:szCs w:val="22"/>
          <w:lang w:val="it-IT"/>
        </w:rPr>
        <w:t>degli allenatori sostituiti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>nei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90 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>campionati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9D12A6" w:rsidRPr="0051432D">
        <w:rPr>
          <w:rFonts w:ascii="Segoe UI" w:hAnsi="Segoe UI" w:cs="Segoe UI"/>
          <w:sz w:val="22"/>
          <w:szCs w:val="22"/>
          <w:lang w:val="it-IT"/>
        </w:rPr>
        <w:t>globali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 xml:space="preserve"> analizzati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dalla UEFA è rimasta costantemente alta nelle ultime 4 stagioni e </w:t>
      </w:r>
      <w:r w:rsidR="00A01D70" w:rsidRPr="0051432D">
        <w:rPr>
          <w:rFonts w:ascii="Segoe UI" w:hAnsi="Segoe UI" w:cs="Segoe UI"/>
          <w:sz w:val="22"/>
          <w:szCs w:val="22"/>
          <w:lang w:val="it-IT"/>
        </w:rPr>
        <w:t>nel 2015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 xml:space="preserve"> il 63% dei club ha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 cambiato allenatore;</w:t>
      </w:r>
    </w:p>
    <w:p w14:paraId="4F324269" w14:textId="388FFCFB" w:rsidR="00B2500A" w:rsidRPr="0051432D" w:rsidRDefault="00BD1049" w:rsidP="00980D62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g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li allenatori italiani e serbi sono quelli maggiormente 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>presenti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, poiché 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>si trovano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AA4215" w:rsidRPr="0051432D">
        <w:rPr>
          <w:rFonts w:ascii="Segoe UI" w:hAnsi="Segoe UI" w:cs="Segoe UI"/>
          <w:sz w:val="22"/>
          <w:szCs w:val="22"/>
          <w:lang w:val="it-IT"/>
        </w:rPr>
        <w:t xml:space="preserve">rispettivamente 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15 </w:t>
      </w:r>
      <w:r w:rsidR="005D0968">
        <w:rPr>
          <w:rFonts w:ascii="Segoe UI" w:hAnsi="Segoe UI" w:cs="Segoe UI"/>
          <w:sz w:val="22"/>
          <w:szCs w:val="22"/>
          <w:lang w:val="it-IT"/>
        </w:rPr>
        <w:t xml:space="preserve">allenatori italiani 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 xml:space="preserve">e 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>14</w:t>
      </w:r>
      <w:r w:rsidR="005D0968">
        <w:rPr>
          <w:rFonts w:ascii="Segoe UI" w:hAnsi="Segoe UI" w:cs="Segoe UI"/>
          <w:sz w:val="22"/>
          <w:szCs w:val="22"/>
          <w:lang w:val="it-IT"/>
        </w:rPr>
        <w:t xml:space="preserve"> serbi nei</w:t>
      </w:r>
      <w:r w:rsidR="00AA4215" w:rsidRPr="0051432D">
        <w:rPr>
          <w:rFonts w:ascii="Segoe UI" w:hAnsi="Segoe UI" w:cs="Segoe UI"/>
          <w:sz w:val="22"/>
          <w:szCs w:val="22"/>
          <w:lang w:val="it-IT"/>
        </w:rPr>
        <w:t xml:space="preserve"> diversi campionati</w:t>
      </w:r>
      <w:r w:rsidR="00B2500A" w:rsidRPr="0051432D">
        <w:rPr>
          <w:rFonts w:ascii="Segoe UI" w:hAnsi="Segoe UI" w:cs="Segoe UI"/>
          <w:sz w:val="22"/>
          <w:szCs w:val="22"/>
          <w:lang w:val="it-IT"/>
        </w:rPr>
        <w:t>;</w:t>
      </w:r>
    </w:p>
    <w:p w14:paraId="3C1BAE9D" w14:textId="031B4348" w:rsidR="003C102A" w:rsidRPr="0051432D" w:rsidRDefault="00F8016B" w:rsidP="00706E8C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 xml:space="preserve">una maggioranza davvero forte 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dei talenti </w:t>
      </w:r>
      <w:r w:rsidR="005D0968">
        <w:rPr>
          <w:rFonts w:ascii="Segoe UI" w:hAnsi="Segoe UI" w:cs="Segoe UI"/>
          <w:sz w:val="22"/>
          <w:szCs w:val="22"/>
          <w:lang w:val="it-IT"/>
        </w:rPr>
        <w:t>globali</w:t>
      </w:r>
      <w:r>
        <w:rPr>
          <w:rFonts w:ascii="Segoe UI" w:hAnsi="Segoe UI" w:cs="Segoe UI"/>
          <w:sz w:val="22"/>
          <w:szCs w:val="22"/>
          <w:lang w:val="it-IT"/>
        </w:rPr>
        <w:t xml:space="preserve"> (in base al valore di mercato </w:t>
      </w:r>
      <w:r w:rsidR="005D0968">
        <w:rPr>
          <w:rFonts w:ascii="Segoe UI" w:hAnsi="Segoe UI" w:cs="Segoe UI"/>
          <w:sz w:val="22"/>
          <w:szCs w:val="22"/>
          <w:lang w:val="it-IT"/>
        </w:rPr>
        <w:t>stimat</w:t>
      </w:r>
      <w:r>
        <w:rPr>
          <w:rFonts w:ascii="Segoe UI" w:hAnsi="Segoe UI" w:cs="Segoe UI"/>
          <w:sz w:val="22"/>
          <w:szCs w:val="22"/>
          <w:lang w:val="it-IT"/>
        </w:rPr>
        <w:t>o)</w:t>
      </w:r>
      <w:r w:rsidR="00AA4215" w:rsidRPr="0051432D">
        <w:rPr>
          <w:rFonts w:ascii="Segoe UI" w:hAnsi="Segoe UI" w:cs="Segoe UI"/>
          <w:sz w:val="22"/>
          <w:szCs w:val="22"/>
          <w:lang w:val="it-IT"/>
        </w:rPr>
        <w:t xml:space="preserve">, </w:t>
      </w:r>
      <w:r>
        <w:rPr>
          <w:rFonts w:ascii="Segoe UI" w:hAnsi="Segoe UI" w:cs="Segoe UI"/>
          <w:sz w:val="22"/>
          <w:szCs w:val="22"/>
          <w:lang w:val="it-IT"/>
        </w:rPr>
        <w:t>l</w:t>
      </w:r>
      <w:r w:rsidRPr="0051432D">
        <w:rPr>
          <w:rFonts w:ascii="Segoe UI" w:hAnsi="Segoe UI" w:cs="Segoe UI"/>
          <w:sz w:val="22"/>
          <w:szCs w:val="22"/>
          <w:lang w:val="it-IT"/>
        </w:rPr>
        <w:t>’82%</w:t>
      </w:r>
      <w:r>
        <w:rPr>
          <w:rFonts w:ascii="Segoe UI" w:hAnsi="Segoe UI" w:cs="Segoe UI"/>
          <w:sz w:val="22"/>
          <w:szCs w:val="22"/>
          <w:lang w:val="it-IT"/>
        </w:rPr>
        <w:t>,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>si concentra ne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>i campionati europei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 e il 48% di </w:t>
      </w:r>
      <w:r w:rsidR="007039A5" w:rsidRPr="0051432D">
        <w:rPr>
          <w:rFonts w:ascii="Segoe UI" w:hAnsi="Segoe UI" w:cs="Segoe UI"/>
          <w:sz w:val="22"/>
          <w:szCs w:val="22"/>
          <w:lang w:val="it-IT"/>
        </w:rPr>
        <w:t>loro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 giocano in Inghilterra, Germania, Italia o Spagna;</w:t>
      </w:r>
    </w:p>
    <w:p w14:paraId="4F38F3AB" w14:textId="61E6CC66" w:rsidR="003C102A" w:rsidRPr="0051432D" w:rsidRDefault="0096749F" w:rsidP="00706E8C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l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a 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>Premier L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eague inglese ha </w:t>
      </w:r>
      <w:r w:rsidR="00F8016B">
        <w:rPr>
          <w:rFonts w:ascii="Segoe UI" w:hAnsi="Segoe UI" w:cs="Segoe UI"/>
          <w:sz w:val="22"/>
          <w:szCs w:val="22"/>
          <w:lang w:val="it-IT"/>
        </w:rPr>
        <w:t xml:space="preserve">quasi </w:t>
      </w:r>
      <w:r w:rsidR="00AA4215" w:rsidRPr="0051432D">
        <w:rPr>
          <w:rFonts w:ascii="Segoe UI" w:hAnsi="Segoe UI" w:cs="Segoe UI"/>
          <w:sz w:val="22"/>
          <w:szCs w:val="22"/>
          <w:lang w:val="it-IT"/>
        </w:rPr>
        <w:t xml:space="preserve">il 70% 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di giocatori stranieri, </w:t>
      </w:r>
      <w:r w:rsidR="00AA4215" w:rsidRPr="0051432D">
        <w:rPr>
          <w:rFonts w:ascii="Segoe UI" w:hAnsi="Segoe UI" w:cs="Segoe UI"/>
          <w:sz w:val="22"/>
          <w:szCs w:val="22"/>
          <w:lang w:val="it-IT"/>
        </w:rPr>
        <w:t>è di gran lunga la percentuale</w:t>
      </w:r>
      <w:r w:rsidR="00F8016B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4C3774">
        <w:rPr>
          <w:rFonts w:ascii="Segoe UI" w:hAnsi="Segoe UI" w:cs="Segoe UI"/>
          <w:sz w:val="22"/>
          <w:szCs w:val="22"/>
          <w:lang w:val="it-IT"/>
        </w:rPr>
        <w:t>più alta</w:t>
      </w:r>
      <w:r w:rsidR="00AA4215" w:rsidRPr="0051432D">
        <w:rPr>
          <w:rFonts w:ascii="Segoe UI" w:hAnsi="Segoe UI" w:cs="Segoe UI"/>
          <w:sz w:val="22"/>
          <w:szCs w:val="22"/>
          <w:lang w:val="it-IT"/>
        </w:rPr>
        <w:t>.</w:t>
      </w:r>
    </w:p>
    <w:p w14:paraId="56E8D27E" w14:textId="77777777" w:rsidR="00980D62" w:rsidRPr="0051432D" w:rsidRDefault="00980D62" w:rsidP="00706E8C">
      <w:pPr>
        <w:ind w:left="360"/>
        <w:rPr>
          <w:rFonts w:ascii="Segoe UI" w:hAnsi="Segoe UI" w:cs="Segoe UI"/>
          <w:sz w:val="22"/>
          <w:szCs w:val="22"/>
          <w:lang w:val="it-IT"/>
        </w:rPr>
      </w:pPr>
    </w:p>
    <w:p w14:paraId="7AF0766F" w14:textId="0479374A" w:rsidR="003C102A" w:rsidRPr="0051432D" w:rsidRDefault="003217AA" w:rsidP="00706E8C">
      <w:pPr>
        <w:rPr>
          <w:rFonts w:ascii="Segoe UI" w:hAnsi="Segoe UI" w:cs="Segoe UI"/>
          <w:i/>
          <w:sz w:val="22"/>
          <w:szCs w:val="22"/>
          <w:lang w:val="it-IT"/>
        </w:rPr>
      </w:pPr>
      <w:r>
        <w:rPr>
          <w:rFonts w:ascii="Segoe UI" w:hAnsi="Segoe UI" w:cs="Segoe UI"/>
          <w:i/>
          <w:sz w:val="22"/>
          <w:szCs w:val="22"/>
          <w:lang w:val="it-IT"/>
        </w:rPr>
        <w:t>Tifosi</w:t>
      </w:r>
      <w:r w:rsidRPr="0051432D">
        <w:rPr>
          <w:rFonts w:ascii="Segoe UI" w:hAnsi="Segoe UI" w:cs="Segoe UI"/>
          <w:i/>
          <w:sz w:val="22"/>
          <w:szCs w:val="22"/>
          <w:lang w:val="it-IT"/>
        </w:rPr>
        <w:t xml:space="preserve"> </w:t>
      </w:r>
    </w:p>
    <w:p w14:paraId="72C1AE07" w14:textId="0A0532C4" w:rsidR="003C102A" w:rsidRPr="0051432D" w:rsidRDefault="003C102A" w:rsidP="00EA0170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>Nel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>la stagione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2015/</w:t>
      </w:r>
      <w:r w:rsidR="0096749F">
        <w:rPr>
          <w:rFonts w:ascii="Segoe UI" w:hAnsi="Segoe UI" w:cs="Segoe UI"/>
          <w:sz w:val="22"/>
          <w:szCs w:val="22"/>
          <w:lang w:val="it-IT"/>
        </w:rPr>
        <w:t>20</w:t>
      </w:r>
      <w:r w:rsidRPr="0051432D">
        <w:rPr>
          <w:rFonts w:ascii="Segoe UI" w:hAnsi="Segoe UI" w:cs="Segoe UI"/>
          <w:sz w:val="22"/>
          <w:szCs w:val="22"/>
          <w:lang w:val="it-IT"/>
        </w:rPr>
        <w:t>16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oltre 170 milioni 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>di spettatori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C124A9" w:rsidRPr="0051432D">
        <w:rPr>
          <w:rFonts w:ascii="Segoe UI" w:hAnsi="Segoe UI" w:cs="Segoe UI"/>
          <w:sz w:val="22"/>
          <w:szCs w:val="22"/>
          <w:lang w:val="it-IT"/>
        </w:rPr>
        <w:t>erano presenti</w:t>
      </w:r>
      <w:r w:rsidR="00E12E5A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sz w:val="22"/>
          <w:szCs w:val="22"/>
          <w:lang w:val="it-IT"/>
        </w:rPr>
        <w:t>al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 xml:space="preserve">le partite di campionato europee, </w:t>
      </w:r>
      <w:r w:rsidR="00E259AD" w:rsidRPr="0051432D">
        <w:rPr>
          <w:rFonts w:ascii="Segoe UI" w:hAnsi="Segoe UI" w:cs="Segoe UI"/>
          <w:sz w:val="22"/>
          <w:szCs w:val="22"/>
          <w:lang w:val="it-IT"/>
        </w:rPr>
        <w:t>di cui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55 milioni 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>erano gli spettatori</w:t>
      </w:r>
      <w:r w:rsidR="004C3774">
        <w:rPr>
          <w:rFonts w:ascii="Segoe UI" w:hAnsi="Segoe UI" w:cs="Segoe UI"/>
          <w:sz w:val="22"/>
          <w:szCs w:val="22"/>
          <w:lang w:val="it-IT"/>
        </w:rPr>
        <w:t xml:space="preserve"> de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>lle partite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in Inghilterra e in Germania;</w:t>
      </w:r>
    </w:p>
    <w:p w14:paraId="6AAB1823" w14:textId="61BBFD28" w:rsidR="003C102A" w:rsidRPr="0051432D" w:rsidRDefault="0096749F" w:rsidP="00EA0170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i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l numero degli spettatori </w:t>
      </w:r>
      <w:r>
        <w:rPr>
          <w:rFonts w:ascii="Segoe UI" w:hAnsi="Segoe UI" w:cs="Segoe UI"/>
          <w:sz w:val="22"/>
          <w:szCs w:val="22"/>
          <w:lang w:val="it-IT"/>
        </w:rPr>
        <w:t xml:space="preserve">europei 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è aumentato di ben 2,6 milioni durante l’ultima stagione e 14 campionati hanno registrato il 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 xml:space="preserve">maggior 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numero 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 xml:space="preserve">di presenze 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>da oltre 10 anni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 xml:space="preserve"> a questa parte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>;</w:t>
      </w:r>
    </w:p>
    <w:p w14:paraId="1C8024A9" w14:textId="061E4E6C" w:rsidR="003C102A" w:rsidRPr="0051432D" w:rsidRDefault="0096749F" w:rsidP="00EA0170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n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el 2016 </w:t>
      </w:r>
      <w:r w:rsidR="00C124A9" w:rsidRPr="0051432D">
        <w:rPr>
          <w:rFonts w:ascii="Segoe UI" w:hAnsi="Segoe UI" w:cs="Segoe UI"/>
          <w:sz w:val="22"/>
          <w:szCs w:val="22"/>
          <w:lang w:val="it-IT"/>
        </w:rPr>
        <w:t>i siti web ufficiali di 29 club sono stati visitati ogni mese da oltre 1 milione di sostenitori;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 tra </w:t>
      </w:r>
      <w:r w:rsidR="00C124A9" w:rsidRPr="0051432D">
        <w:rPr>
          <w:rFonts w:ascii="Segoe UI" w:hAnsi="Segoe UI" w:cs="Segoe UI"/>
          <w:sz w:val="22"/>
          <w:szCs w:val="22"/>
          <w:lang w:val="it-IT"/>
        </w:rPr>
        <w:t>essi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C124A9" w:rsidRPr="0051432D">
        <w:rPr>
          <w:rFonts w:ascii="Segoe UI" w:hAnsi="Segoe UI" w:cs="Segoe UI"/>
          <w:sz w:val="22"/>
          <w:szCs w:val="22"/>
          <w:lang w:val="it-IT"/>
        </w:rPr>
        <w:t xml:space="preserve">figurano 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>7 club inglesi, 5 tedeschi</w:t>
      </w:r>
      <w:r w:rsidR="00C124A9" w:rsidRPr="0051432D">
        <w:rPr>
          <w:rFonts w:ascii="Segoe UI" w:hAnsi="Segoe UI" w:cs="Segoe UI"/>
          <w:sz w:val="22"/>
          <w:szCs w:val="22"/>
          <w:lang w:val="it-IT"/>
        </w:rPr>
        <w:t xml:space="preserve">, 15 di altri </w:t>
      </w:r>
      <w:r w:rsidR="00DB261E">
        <w:rPr>
          <w:rFonts w:ascii="Segoe UI" w:hAnsi="Segoe UI" w:cs="Segoe UI"/>
          <w:sz w:val="22"/>
          <w:szCs w:val="22"/>
          <w:lang w:val="it-IT"/>
        </w:rPr>
        <w:t>paesi</w:t>
      </w:r>
      <w:r w:rsidR="00DB261E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C124A9" w:rsidRPr="0051432D">
        <w:rPr>
          <w:rFonts w:ascii="Segoe UI" w:hAnsi="Segoe UI" w:cs="Segoe UI"/>
          <w:sz w:val="22"/>
          <w:szCs w:val="22"/>
          <w:lang w:val="it-IT"/>
        </w:rPr>
        <w:t>europei e 2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113E99">
        <w:rPr>
          <w:rFonts w:ascii="Segoe UI" w:hAnsi="Segoe UI" w:cs="Segoe UI"/>
          <w:sz w:val="22"/>
          <w:szCs w:val="22"/>
          <w:lang w:val="it-IT"/>
        </w:rPr>
        <w:t xml:space="preserve">di paesi </w:t>
      </w:r>
      <w:r w:rsidR="003C102A" w:rsidRPr="0051432D">
        <w:rPr>
          <w:rFonts w:ascii="Segoe UI" w:hAnsi="Segoe UI" w:cs="Segoe UI"/>
          <w:sz w:val="22"/>
          <w:szCs w:val="22"/>
          <w:lang w:val="it-IT"/>
        </w:rPr>
        <w:t>extraeuropei.</w:t>
      </w:r>
    </w:p>
    <w:p w14:paraId="7B0B316C" w14:textId="77777777" w:rsidR="00EA0170" w:rsidRPr="0051432D" w:rsidRDefault="00EA0170" w:rsidP="00EA0170">
      <w:pPr>
        <w:rPr>
          <w:rFonts w:ascii="Segoe UI" w:hAnsi="Segoe UI" w:cs="Segoe UI"/>
          <w:sz w:val="22"/>
          <w:szCs w:val="22"/>
          <w:lang w:val="it-IT"/>
        </w:rPr>
      </w:pPr>
    </w:p>
    <w:p w14:paraId="348ECA21" w14:textId="77777777" w:rsidR="003C102A" w:rsidRPr="0051432D" w:rsidRDefault="003C102A" w:rsidP="00EA0170">
      <w:pPr>
        <w:rPr>
          <w:rFonts w:ascii="Segoe UI" w:hAnsi="Segoe UI" w:cs="Segoe UI"/>
          <w:i/>
          <w:sz w:val="22"/>
          <w:szCs w:val="22"/>
          <w:lang w:val="it-IT"/>
        </w:rPr>
      </w:pPr>
      <w:r w:rsidRPr="0051432D">
        <w:rPr>
          <w:rFonts w:ascii="Segoe UI" w:hAnsi="Segoe UI" w:cs="Segoe UI"/>
          <w:i/>
          <w:sz w:val="22"/>
          <w:szCs w:val="22"/>
          <w:lang w:val="it-IT"/>
        </w:rPr>
        <w:t>Stadi e loro sviluppo</w:t>
      </w:r>
    </w:p>
    <w:p w14:paraId="78FB7B95" w14:textId="3A4089A1" w:rsidR="00955532" w:rsidRPr="0051432D" w:rsidRDefault="00955532" w:rsidP="00EA0170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>240 su 365 dei maggiori pr</w:t>
      </w:r>
      <w:bookmarkStart w:id="0" w:name="_GoBack"/>
      <w:bookmarkEnd w:id="0"/>
      <w:r w:rsidRPr="0051432D">
        <w:rPr>
          <w:rFonts w:ascii="Segoe UI" w:hAnsi="Segoe UI" w:cs="Segoe UI"/>
          <w:sz w:val="22"/>
          <w:szCs w:val="22"/>
          <w:lang w:val="it-IT"/>
        </w:rPr>
        <w:t xml:space="preserve">ogetti per stadi </w:t>
      </w:r>
      <w:r w:rsidR="00E12E5A" w:rsidRPr="0051432D">
        <w:rPr>
          <w:rFonts w:ascii="Segoe UI" w:hAnsi="Segoe UI" w:cs="Segoe UI"/>
          <w:sz w:val="22"/>
          <w:szCs w:val="22"/>
          <w:lang w:val="it-IT"/>
        </w:rPr>
        <w:t xml:space="preserve">mondiali </w:t>
      </w:r>
      <w:r w:rsidRPr="0051432D">
        <w:rPr>
          <w:rFonts w:ascii="Segoe UI" w:hAnsi="Segoe UI" w:cs="Segoe UI"/>
          <w:sz w:val="22"/>
          <w:szCs w:val="22"/>
          <w:lang w:val="it-IT"/>
        </w:rPr>
        <w:t>(all’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>aperto e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C124A9" w:rsidRPr="0051432D">
        <w:rPr>
          <w:rFonts w:ascii="Segoe UI" w:hAnsi="Segoe UI" w:cs="Segoe UI"/>
          <w:sz w:val="22"/>
          <w:szCs w:val="22"/>
          <w:lang w:val="it-IT"/>
        </w:rPr>
        <w:t>con</w:t>
      </w:r>
      <w:r w:rsidR="00567086" w:rsidRPr="0051432D">
        <w:rPr>
          <w:rFonts w:ascii="Segoe UI" w:hAnsi="Segoe UI" w:cs="Segoe UI"/>
          <w:sz w:val="22"/>
          <w:szCs w:val="22"/>
          <w:lang w:val="it-IT"/>
        </w:rPr>
        <w:t xml:space="preserve"> oltre 5000 posti) d</w:t>
      </w:r>
      <w:r w:rsidRPr="0051432D">
        <w:rPr>
          <w:rFonts w:ascii="Segoe UI" w:hAnsi="Segoe UI" w:cs="Segoe UI"/>
          <w:sz w:val="22"/>
          <w:szCs w:val="22"/>
          <w:lang w:val="it-IT"/>
        </w:rPr>
        <w:t>egli ultimi 10 anni</w:t>
      </w:r>
      <w:r w:rsidR="004C3774">
        <w:rPr>
          <w:rFonts w:ascii="Segoe UI" w:hAnsi="Segoe UI" w:cs="Segoe UI"/>
          <w:sz w:val="22"/>
          <w:szCs w:val="22"/>
          <w:lang w:val="it-IT"/>
        </w:rPr>
        <w:t xml:space="preserve"> sono legati al calcio</w:t>
      </w:r>
      <w:r w:rsidRPr="0051432D">
        <w:rPr>
          <w:rFonts w:ascii="Segoe UI" w:hAnsi="Segoe UI" w:cs="Segoe UI"/>
          <w:sz w:val="22"/>
          <w:szCs w:val="22"/>
          <w:lang w:val="it-IT"/>
        </w:rPr>
        <w:t>;</w:t>
      </w:r>
    </w:p>
    <w:p w14:paraId="20EBEE2A" w14:textId="4A97CAF9" w:rsidR="00955532" w:rsidRPr="0051432D" w:rsidRDefault="00FA72F1" w:rsidP="00EA0170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dal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 2007</w:t>
      </w:r>
      <w:r w:rsidR="00E259AD" w:rsidRPr="0051432D">
        <w:rPr>
          <w:rFonts w:ascii="Segoe UI" w:hAnsi="Segoe UI" w:cs="Segoe UI"/>
          <w:sz w:val="22"/>
          <w:szCs w:val="22"/>
          <w:lang w:val="it-IT"/>
        </w:rPr>
        <w:t>,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E12E5A" w:rsidRPr="0051432D">
        <w:rPr>
          <w:rFonts w:ascii="Segoe UI" w:hAnsi="Segoe UI" w:cs="Segoe UI"/>
          <w:sz w:val="22"/>
          <w:szCs w:val="22"/>
          <w:lang w:val="it-IT"/>
        </w:rPr>
        <w:t xml:space="preserve">il maggior numero di nuovi </w:t>
      </w:r>
      <w:r w:rsidR="00DB261E">
        <w:rPr>
          <w:rFonts w:ascii="Segoe UI" w:hAnsi="Segoe UI" w:cs="Segoe UI"/>
          <w:sz w:val="22"/>
          <w:szCs w:val="22"/>
          <w:lang w:val="it-IT"/>
        </w:rPr>
        <w:t xml:space="preserve">grandi </w:t>
      </w:r>
      <w:r w:rsidR="00E12E5A" w:rsidRPr="0051432D">
        <w:rPr>
          <w:rFonts w:ascii="Segoe UI" w:hAnsi="Segoe UI" w:cs="Segoe UI"/>
          <w:sz w:val="22"/>
          <w:szCs w:val="22"/>
          <w:lang w:val="it-IT"/>
        </w:rPr>
        <w:t xml:space="preserve">progetti per stadi in Europa sono stati </w:t>
      </w:r>
      <w:r w:rsidR="00C124A9" w:rsidRPr="0051432D">
        <w:rPr>
          <w:rFonts w:ascii="Segoe UI" w:hAnsi="Segoe UI" w:cs="Segoe UI"/>
          <w:sz w:val="22"/>
          <w:szCs w:val="22"/>
          <w:lang w:val="it-IT"/>
        </w:rPr>
        <w:t>iniziati</w:t>
      </w:r>
      <w:r w:rsidR="00E12E5A" w:rsidRPr="0051432D">
        <w:rPr>
          <w:rFonts w:ascii="Segoe UI" w:hAnsi="Segoe UI" w:cs="Segoe UI"/>
          <w:sz w:val="22"/>
          <w:szCs w:val="22"/>
          <w:lang w:val="it-IT"/>
        </w:rPr>
        <w:t xml:space="preserve"> da 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>Turchia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943610">
        <w:rPr>
          <w:rFonts w:ascii="Segoe UI" w:hAnsi="Segoe UI" w:cs="Segoe UI"/>
          <w:sz w:val="22"/>
          <w:szCs w:val="22"/>
          <w:lang w:val="it-IT"/>
        </w:rPr>
        <w:t>(18), Polonia (14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>) e</w:t>
      </w:r>
      <w:r w:rsidR="00E12E5A" w:rsidRPr="0051432D">
        <w:rPr>
          <w:rFonts w:ascii="Segoe UI" w:hAnsi="Segoe UI" w:cs="Segoe UI"/>
          <w:sz w:val="22"/>
          <w:szCs w:val="22"/>
          <w:lang w:val="it-IT"/>
        </w:rPr>
        <w:t xml:space="preserve"> Russia (14);</w:t>
      </w:r>
    </w:p>
    <w:p w14:paraId="5E3570C4" w14:textId="768C997D" w:rsidR="00955532" w:rsidRPr="0051432D" w:rsidRDefault="00DB261E" w:rsidP="0051240F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l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a tendenza a costruire nuovi stadi in Europa è in notevole ascesa; tra il 2013 e il 2017 </w:t>
      </w:r>
      <w:r w:rsidR="00C124A9" w:rsidRPr="0051432D">
        <w:rPr>
          <w:rFonts w:ascii="Segoe UI" w:hAnsi="Segoe UI" w:cs="Segoe UI"/>
          <w:sz w:val="22"/>
          <w:szCs w:val="22"/>
          <w:lang w:val="it-IT"/>
        </w:rPr>
        <w:t xml:space="preserve">è stata </w:t>
      </w:r>
      <w:r w:rsidR="00FA72F1" w:rsidRPr="0051432D">
        <w:rPr>
          <w:rFonts w:ascii="Segoe UI" w:hAnsi="Segoe UI" w:cs="Segoe UI"/>
          <w:sz w:val="22"/>
          <w:szCs w:val="22"/>
          <w:lang w:val="it-IT"/>
        </w:rPr>
        <w:t>pianificata</w:t>
      </w:r>
      <w:r w:rsidR="00C124A9" w:rsidRPr="0051432D">
        <w:rPr>
          <w:rFonts w:ascii="Segoe UI" w:hAnsi="Segoe UI" w:cs="Segoe UI"/>
          <w:sz w:val="22"/>
          <w:szCs w:val="22"/>
          <w:lang w:val="it-IT"/>
        </w:rPr>
        <w:t xml:space="preserve"> la costruzione o ricostruzione di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 58 stadi di club, rispetto ai 23</w:t>
      </w:r>
      <w:r w:rsidR="00AF4817" w:rsidRPr="0051432D">
        <w:rPr>
          <w:rFonts w:ascii="Segoe UI" w:hAnsi="Segoe UI" w:cs="Segoe UI"/>
          <w:sz w:val="22"/>
          <w:szCs w:val="22"/>
          <w:lang w:val="it-IT"/>
        </w:rPr>
        <w:t xml:space="preserve"> stadi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 tra il 2008 e il 2012</w:t>
      </w:r>
      <w:r w:rsidR="006C0F2C">
        <w:rPr>
          <w:rFonts w:ascii="Segoe UI" w:hAnsi="Segoe UI" w:cs="Segoe UI"/>
          <w:sz w:val="22"/>
          <w:szCs w:val="22"/>
          <w:lang w:val="it-IT"/>
        </w:rPr>
        <w:t>.</w:t>
      </w:r>
    </w:p>
    <w:p w14:paraId="433403F1" w14:textId="77777777" w:rsidR="00EA0170" w:rsidRPr="0051432D" w:rsidRDefault="00EA0170" w:rsidP="0051240F">
      <w:pPr>
        <w:rPr>
          <w:rFonts w:ascii="Segoe UI" w:hAnsi="Segoe UI" w:cs="Segoe UI"/>
          <w:sz w:val="22"/>
          <w:szCs w:val="22"/>
          <w:lang w:val="it-IT"/>
        </w:rPr>
      </w:pPr>
    </w:p>
    <w:p w14:paraId="27972443" w14:textId="77777777" w:rsidR="00955532" w:rsidRPr="0051432D" w:rsidRDefault="00955532" w:rsidP="0051240F">
      <w:pPr>
        <w:rPr>
          <w:rFonts w:ascii="Segoe UI" w:hAnsi="Segoe UI" w:cs="Segoe UI"/>
          <w:i/>
          <w:sz w:val="22"/>
          <w:szCs w:val="22"/>
          <w:lang w:val="it-IT"/>
        </w:rPr>
      </w:pPr>
      <w:r w:rsidRPr="0051432D">
        <w:rPr>
          <w:rFonts w:ascii="Segoe UI" w:hAnsi="Segoe UI" w:cs="Segoe UI"/>
          <w:i/>
          <w:sz w:val="22"/>
          <w:szCs w:val="22"/>
          <w:lang w:val="it-IT"/>
        </w:rPr>
        <w:t>Proprietà e sponsorizzazioni dei club</w:t>
      </w:r>
    </w:p>
    <w:p w14:paraId="5AE70325" w14:textId="404A56A9" w:rsidR="00955532" w:rsidRPr="0051432D" w:rsidRDefault="00955532" w:rsidP="0051240F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>4</w:t>
      </w:r>
      <w:r w:rsidR="00E259AD" w:rsidRPr="0051432D">
        <w:rPr>
          <w:rFonts w:ascii="Segoe UI" w:hAnsi="Segoe UI" w:cs="Segoe UI"/>
          <w:sz w:val="22"/>
          <w:szCs w:val="22"/>
          <w:lang w:val="it-IT"/>
        </w:rPr>
        <w:t>4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 club 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 xml:space="preserve">dei maggiori 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campionati europei sono 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>attualmente in mani estere</w:t>
      </w:r>
      <w:r w:rsidRPr="0051432D">
        <w:rPr>
          <w:rFonts w:ascii="Segoe UI" w:hAnsi="Segoe UI" w:cs="Segoe UI"/>
          <w:sz w:val="22"/>
          <w:szCs w:val="22"/>
          <w:lang w:val="it-IT"/>
        </w:rPr>
        <w:t xml:space="preserve">, 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 xml:space="preserve">con proprietari </w:t>
      </w:r>
      <w:r w:rsidRPr="0051432D">
        <w:rPr>
          <w:rFonts w:ascii="Segoe UI" w:hAnsi="Segoe UI" w:cs="Segoe UI"/>
          <w:sz w:val="22"/>
          <w:szCs w:val="22"/>
          <w:lang w:val="it-IT"/>
        </w:rPr>
        <w:t>di 18 nazionalità</w:t>
      </w:r>
      <w:r w:rsidR="008D2932">
        <w:rPr>
          <w:rFonts w:ascii="Segoe UI" w:hAnsi="Segoe UI" w:cs="Segoe UI"/>
          <w:sz w:val="22"/>
          <w:szCs w:val="22"/>
          <w:lang w:val="it-IT"/>
        </w:rPr>
        <w:t xml:space="preserve"> diverse</w:t>
      </w:r>
      <w:r w:rsidRPr="0051432D">
        <w:rPr>
          <w:rFonts w:ascii="Segoe UI" w:hAnsi="Segoe UI" w:cs="Segoe UI"/>
          <w:sz w:val="22"/>
          <w:szCs w:val="22"/>
          <w:lang w:val="it-IT"/>
        </w:rPr>
        <w:t>;</w:t>
      </w:r>
    </w:p>
    <w:p w14:paraId="5A13F183" w14:textId="2A6C183A" w:rsidR="00955532" w:rsidRPr="0051432D" w:rsidRDefault="008D2932" w:rsidP="0051240F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lastRenderedPageBreak/>
        <w:t>i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l 2016 è stato l’anno 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>in cui è avvenuto il maggior numero di acquisizioni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 di club 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 xml:space="preserve">da parte di </w:t>
      </w:r>
      <w:r w:rsidR="0024552E" w:rsidRPr="0051432D">
        <w:rPr>
          <w:rFonts w:ascii="Segoe UI" w:hAnsi="Segoe UI" w:cs="Segoe UI"/>
          <w:sz w:val="22"/>
          <w:szCs w:val="22"/>
          <w:lang w:val="it-IT"/>
        </w:rPr>
        <w:t xml:space="preserve">soggetti </w:t>
      </w:r>
      <w:r w:rsidR="009D12A6" w:rsidRPr="0051432D">
        <w:rPr>
          <w:rFonts w:ascii="Segoe UI" w:hAnsi="Segoe UI" w:cs="Segoe UI"/>
          <w:sz w:val="22"/>
          <w:szCs w:val="22"/>
          <w:lang w:val="it-IT"/>
        </w:rPr>
        <w:t>stranieri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>;</w:t>
      </w:r>
      <w:r w:rsidR="003353BE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10 nuove acquisizioni sono state </w:t>
      </w:r>
      <w:r w:rsidR="0098165A">
        <w:rPr>
          <w:rFonts w:ascii="Segoe UI" w:hAnsi="Segoe UI" w:cs="Segoe UI"/>
          <w:sz w:val="22"/>
          <w:szCs w:val="22"/>
          <w:lang w:val="it-IT"/>
        </w:rPr>
        <w:t>portate a termine</w:t>
      </w:r>
      <w:r w:rsidR="0098165A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entro novembre, di cui </w:t>
      </w:r>
      <w:r w:rsidR="00F94769" w:rsidRPr="0051432D">
        <w:rPr>
          <w:rFonts w:ascii="Segoe UI" w:hAnsi="Segoe UI" w:cs="Segoe UI"/>
          <w:sz w:val="22"/>
          <w:szCs w:val="22"/>
          <w:lang w:val="it-IT"/>
        </w:rPr>
        <w:t xml:space="preserve">8 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>con nuovi proprietari cinesi;</w:t>
      </w:r>
    </w:p>
    <w:p w14:paraId="4434B714" w14:textId="0B271CE8" w:rsidR="00FA72F1" w:rsidRPr="0051432D" w:rsidRDefault="00081D3A" w:rsidP="0051240F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l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>e proprietà estere sono ancora</w:t>
      </w:r>
      <w:r w:rsidR="004C463C">
        <w:rPr>
          <w:rFonts w:ascii="Segoe UI" w:hAnsi="Segoe UI" w:cs="Segoe UI"/>
          <w:sz w:val="22"/>
          <w:szCs w:val="22"/>
          <w:lang w:val="it-IT"/>
        </w:rPr>
        <w:t xml:space="preserve"> concentrate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 prevalentemente in Inghilterra, do</w:t>
      </w:r>
      <w:r w:rsidR="0024552E" w:rsidRPr="0051432D">
        <w:rPr>
          <w:rFonts w:ascii="Segoe UI" w:hAnsi="Segoe UI" w:cs="Segoe UI"/>
          <w:sz w:val="22"/>
          <w:szCs w:val="22"/>
          <w:lang w:val="it-IT"/>
        </w:rPr>
        <w:t>ve più della metà dei club dei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24552E" w:rsidRPr="0051432D">
        <w:rPr>
          <w:rFonts w:ascii="Segoe UI" w:hAnsi="Segoe UI" w:cs="Segoe UI"/>
          <w:sz w:val="22"/>
          <w:szCs w:val="22"/>
          <w:lang w:val="it-IT"/>
        </w:rPr>
        <w:t>due campionati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B27439" w:rsidRPr="0051432D">
        <w:rPr>
          <w:rFonts w:ascii="Segoe UI" w:hAnsi="Segoe UI" w:cs="Segoe UI"/>
          <w:sz w:val="22"/>
          <w:szCs w:val="22"/>
          <w:lang w:val="it-IT"/>
        </w:rPr>
        <w:t xml:space="preserve">maggiori </w:t>
      </w:r>
      <w:r w:rsidR="0024552E" w:rsidRPr="0051432D">
        <w:rPr>
          <w:rFonts w:ascii="Segoe UI" w:hAnsi="Segoe UI" w:cs="Segoe UI"/>
          <w:sz w:val="22"/>
          <w:szCs w:val="22"/>
          <w:lang w:val="it-IT"/>
        </w:rPr>
        <w:t>hanno adesso proprietari stranieri</w:t>
      </w:r>
      <w:r w:rsidR="00955532" w:rsidRPr="0051432D">
        <w:rPr>
          <w:rFonts w:ascii="Segoe UI" w:hAnsi="Segoe UI" w:cs="Segoe UI"/>
          <w:sz w:val="22"/>
          <w:szCs w:val="22"/>
          <w:lang w:val="it-IT"/>
        </w:rPr>
        <w:t>;</w:t>
      </w:r>
    </w:p>
    <w:p w14:paraId="7F1248C5" w14:textId="0A23DFDE" w:rsidR="00955532" w:rsidRPr="00FA72F1" w:rsidRDefault="004C463C" w:rsidP="008D171E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it-IT"/>
        </w:rPr>
      </w:pPr>
      <w:r w:rsidRPr="00FA72F1">
        <w:rPr>
          <w:rFonts w:ascii="Segoe UI" w:hAnsi="Segoe UI" w:cs="Segoe UI"/>
          <w:sz w:val="22"/>
          <w:szCs w:val="22"/>
          <w:lang w:val="it-IT"/>
        </w:rPr>
        <w:t>i</w:t>
      </w:r>
      <w:r w:rsidR="00955532" w:rsidRPr="00FA72F1">
        <w:rPr>
          <w:rFonts w:ascii="Segoe UI" w:hAnsi="Segoe UI" w:cs="Segoe UI"/>
          <w:sz w:val="22"/>
          <w:szCs w:val="22"/>
          <w:lang w:val="it-IT"/>
        </w:rPr>
        <w:t xml:space="preserve"> diritti di </w:t>
      </w:r>
      <w:r w:rsidR="008A29F1" w:rsidRPr="00FA72F1">
        <w:rPr>
          <w:rFonts w:ascii="Segoe UI" w:hAnsi="Segoe UI" w:cs="Segoe UI"/>
          <w:sz w:val="22"/>
          <w:szCs w:val="22"/>
          <w:lang w:val="it-IT"/>
        </w:rPr>
        <w:t>denominazione commerciale</w:t>
      </w:r>
      <w:r w:rsidR="00955532" w:rsidRPr="00FA72F1">
        <w:rPr>
          <w:rFonts w:ascii="Segoe UI" w:hAnsi="Segoe UI" w:cs="Segoe UI"/>
          <w:sz w:val="22"/>
          <w:szCs w:val="22"/>
          <w:lang w:val="it-IT"/>
        </w:rPr>
        <w:t xml:space="preserve"> si applicano al </w:t>
      </w:r>
      <w:r w:rsidR="0024552E" w:rsidRPr="00FA72F1">
        <w:rPr>
          <w:rFonts w:ascii="Segoe UI" w:hAnsi="Segoe UI" w:cs="Segoe UI"/>
          <w:sz w:val="22"/>
          <w:szCs w:val="22"/>
          <w:lang w:val="it-IT"/>
        </w:rPr>
        <w:t>25% degli stadi di club europei</w:t>
      </w:r>
      <w:r w:rsidR="00E259AD" w:rsidRPr="00FA72F1">
        <w:rPr>
          <w:rFonts w:ascii="Segoe UI" w:hAnsi="Segoe UI" w:cs="Segoe UI"/>
          <w:sz w:val="22"/>
          <w:szCs w:val="22"/>
          <w:lang w:val="it-IT"/>
        </w:rPr>
        <w:t>,</w:t>
      </w:r>
      <w:r w:rsidR="00955532" w:rsidRPr="00FA72F1">
        <w:rPr>
          <w:rFonts w:ascii="Segoe UI" w:hAnsi="Segoe UI" w:cs="Segoe UI"/>
          <w:sz w:val="22"/>
          <w:szCs w:val="22"/>
          <w:lang w:val="it-IT"/>
        </w:rPr>
        <w:t xml:space="preserve"> ma sono</w:t>
      </w:r>
      <w:r w:rsidR="008A29F1" w:rsidRPr="00FA72F1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24552E" w:rsidRPr="008D171E">
        <w:rPr>
          <w:rFonts w:ascii="Segoe UI" w:hAnsi="Segoe UI" w:cs="Segoe UI"/>
          <w:sz w:val="22"/>
          <w:szCs w:val="22"/>
          <w:lang w:val="it-IT"/>
        </w:rPr>
        <w:t>in aumento</w:t>
      </w:r>
      <w:r w:rsidR="00955532" w:rsidRPr="008D171E">
        <w:rPr>
          <w:rFonts w:ascii="Segoe UI" w:hAnsi="Segoe UI" w:cs="Segoe UI"/>
          <w:sz w:val="22"/>
          <w:szCs w:val="22"/>
          <w:lang w:val="it-IT"/>
        </w:rPr>
        <w:t xml:space="preserve"> e </w:t>
      </w:r>
      <w:r w:rsidR="0024552E" w:rsidRPr="008D171E">
        <w:rPr>
          <w:rFonts w:ascii="Segoe UI" w:hAnsi="Segoe UI" w:cs="Segoe UI"/>
          <w:sz w:val="22"/>
          <w:szCs w:val="22"/>
          <w:lang w:val="it-IT"/>
        </w:rPr>
        <w:t xml:space="preserve">sono </w:t>
      </w:r>
      <w:r w:rsidR="00955532" w:rsidRPr="008D171E">
        <w:rPr>
          <w:rFonts w:ascii="Segoe UI" w:hAnsi="Segoe UI" w:cs="Segoe UI"/>
          <w:sz w:val="22"/>
          <w:szCs w:val="22"/>
          <w:lang w:val="it-IT"/>
        </w:rPr>
        <w:t xml:space="preserve">comuni soprattutto in Germania e Danimarca, dove oltre la metà degli stadi hanno contratti </w:t>
      </w:r>
      <w:r w:rsidR="0024552E" w:rsidRPr="00FA72F1">
        <w:rPr>
          <w:rFonts w:ascii="Segoe UI" w:hAnsi="Segoe UI" w:cs="Segoe UI"/>
          <w:sz w:val="22"/>
          <w:szCs w:val="22"/>
          <w:lang w:val="it-IT"/>
        </w:rPr>
        <w:t xml:space="preserve">per diritti </w:t>
      </w:r>
      <w:r w:rsidR="00955532" w:rsidRPr="00FA72F1">
        <w:rPr>
          <w:rFonts w:ascii="Segoe UI" w:hAnsi="Segoe UI" w:cs="Segoe UI"/>
          <w:sz w:val="22"/>
          <w:szCs w:val="22"/>
          <w:lang w:val="it-IT"/>
        </w:rPr>
        <w:t>di denominazione commerciale;</w:t>
      </w:r>
    </w:p>
    <w:p w14:paraId="4308D0E7" w14:textId="0C79FE8A" w:rsidR="005D412E" w:rsidRPr="0051432D" w:rsidRDefault="005B2849" w:rsidP="0051240F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i</w:t>
      </w:r>
      <w:r w:rsidR="005D412E" w:rsidRPr="0051432D">
        <w:rPr>
          <w:rFonts w:ascii="Segoe UI" w:hAnsi="Segoe UI" w:cs="Segoe UI"/>
          <w:sz w:val="22"/>
          <w:szCs w:val="22"/>
          <w:lang w:val="it-IT"/>
        </w:rPr>
        <w:t xml:space="preserve"> tre maggiori produttori di </w:t>
      </w:r>
      <w:r w:rsidR="00CF62E6">
        <w:rPr>
          <w:rFonts w:ascii="Segoe UI" w:hAnsi="Segoe UI" w:cs="Segoe UI"/>
          <w:sz w:val="22"/>
          <w:szCs w:val="22"/>
          <w:lang w:val="it-IT"/>
        </w:rPr>
        <w:t>kit</w:t>
      </w:r>
      <w:r w:rsidR="004075A7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5D412E" w:rsidRPr="0051432D">
        <w:rPr>
          <w:rFonts w:ascii="Segoe UI" w:hAnsi="Segoe UI" w:cs="Segoe UI"/>
          <w:sz w:val="22"/>
          <w:szCs w:val="22"/>
          <w:lang w:val="it-IT"/>
        </w:rPr>
        <w:t>(Adidas, Nike e Puma) riforni</w:t>
      </w:r>
      <w:r w:rsidR="008A29F1" w:rsidRPr="0051432D">
        <w:rPr>
          <w:rFonts w:ascii="Segoe UI" w:hAnsi="Segoe UI" w:cs="Segoe UI"/>
          <w:sz w:val="22"/>
          <w:szCs w:val="22"/>
          <w:lang w:val="it-IT"/>
        </w:rPr>
        <w:t>scono poco meno della metà de</w:t>
      </w:r>
      <w:r w:rsidR="00C4505B">
        <w:rPr>
          <w:rFonts w:ascii="Segoe UI" w:hAnsi="Segoe UI" w:cs="Segoe UI"/>
          <w:sz w:val="22"/>
          <w:szCs w:val="22"/>
          <w:lang w:val="it-IT"/>
        </w:rPr>
        <w:t xml:space="preserve">lle squadre </w:t>
      </w:r>
      <w:r w:rsidR="0024552E" w:rsidRPr="0051432D">
        <w:rPr>
          <w:rFonts w:ascii="Segoe UI" w:hAnsi="Segoe UI" w:cs="Segoe UI"/>
          <w:sz w:val="22"/>
          <w:szCs w:val="22"/>
          <w:lang w:val="it-IT"/>
        </w:rPr>
        <w:t>europe</w:t>
      </w:r>
      <w:r w:rsidR="00B65225">
        <w:rPr>
          <w:rFonts w:ascii="Segoe UI" w:hAnsi="Segoe UI" w:cs="Segoe UI"/>
          <w:sz w:val="22"/>
          <w:szCs w:val="22"/>
          <w:lang w:val="it-IT"/>
        </w:rPr>
        <w:t>e</w:t>
      </w:r>
      <w:r w:rsidR="0024552E" w:rsidRPr="0051432D">
        <w:rPr>
          <w:rFonts w:ascii="Segoe UI" w:hAnsi="Segoe UI" w:cs="Segoe UI"/>
          <w:sz w:val="22"/>
          <w:szCs w:val="22"/>
          <w:lang w:val="it-IT"/>
        </w:rPr>
        <w:t xml:space="preserve"> d</w:t>
      </w:r>
      <w:r w:rsidR="008A29F1" w:rsidRPr="0051432D">
        <w:rPr>
          <w:rFonts w:ascii="Segoe UI" w:hAnsi="Segoe UI" w:cs="Segoe UI"/>
          <w:sz w:val="22"/>
          <w:szCs w:val="22"/>
          <w:lang w:val="it-IT"/>
        </w:rPr>
        <w:t>ei campionati</w:t>
      </w:r>
      <w:r w:rsidR="005D412E" w:rsidRPr="0051432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C4505B">
        <w:rPr>
          <w:rFonts w:ascii="Segoe UI" w:hAnsi="Segoe UI" w:cs="Segoe UI"/>
          <w:sz w:val="22"/>
          <w:szCs w:val="22"/>
          <w:lang w:val="it-IT"/>
        </w:rPr>
        <w:t>maggiori</w:t>
      </w:r>
      <w:r w:rsidR="005D412E" w:rsidRPr="0051432D">
        <w:rPr>
          <w:rFonts w:ascii="Segoe UI" w:hAnsi="Segoe UI" w:cs="Segoe UI"/>
          <w:sz w:val="22"/>
          <w:szCs w:val="22"/>
          <w:lang w:val="it-IT"/>
        </w:rPr>
        <w:t>;</w:t>
      </w:r>
    </w:p>
    <w:p w14:paraId="5BF1DF1C" w14:textId="0495F52F" w:rsidR="005D412E" w:rsidRPr="0051432D" w:rsidRDefault="00C4505B" w:rsidP="00753CCC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>al contrario</w:t>
      </w:r>
      <w:r w:rsidR="008A29F1" w:rsidRPr="0051432D">
        <w:rPr>
          <w:rFonts w:ascii="Segoe UI" w:hAnsi="Segoe UI" w:cs="Segoe UI"/>
          <w:sz w:val="22"/>
          <w:szCs w:val="22"/>
          <w:lang w:val="it-IT"/>
        </w:rPr>
        <w:t>, le sponsorizzazioni delle ma</w:t>
      </w:r>
      <w:r w:rsidR="0024552E" w:rsidRPr="0051432D">
        <w:rPr>
          <w:rFonts w:ascii="Segoe UI" w:hAnsi="Segoe UI" w:cs="Segoe UI"/>
          <w:sz w:val="22"/>
          <w:szCs w:val="22"/>
          <w:lang w:val="it-IT"/>
        </w:rPr>
        <w:t>gli</w:t>
      </w:r>
      <w:r w:rsidR="005D412E" w:rsidRPr="0051432D">
        <w:rPr>
          <w:rFonts w:ascii="Segoe UI" w:hAnsi="Segoe UI" w:cs="Segoe UI"/>
          <w:sz w:val="22"/>
          <w:szCs w:val="22"/>
          <w:lang w:val="it-IT"/>
        </w:rPr>
        <w:t xml:space="preserve">e vedono un basso livello di concentrazione, infatti solo il 6% degli </w:t>
      </w:r>
      <w:r w:rsidR="0024552E" w:rsidRPr="0051432D">
        <w:rPr>
          <w:rFonts w:ascii="Segoe UI" w:hAnsi="Segoe UI" w:cs="Segoe UI"/>
          <w:sz w:val="22"/>
          <w:szCs w:val="22"/>
          <w:lang w:val="it-IT"/>
        </w:rPr>
        <w:t>sponsor appaiono sulle maglie</w:t>
      </w:r>
      <w:r w:rsidR="005D412E" w:rsidRPr="0051432D">
        <w:rPr>
          <w:rFonts w:ascii="Segoe UI" w:hAnsi="Segoe UI" w:cs="Segoe UI"/>
          <w:sz w:val="22"/>
          <w:szCs w:val="22"/>
          <w:lang w:val="it-IT"/>
        </w:rPr>
        <w:t xml:space="preserve"> di più di un club.</w:t>
      </w:r>
    </w:p>
    <w:p w14:paraId="690928A2" w14:textId="77777777" w:rsidR="000A2397" w:rsidRPr="0051432D" w:rsidRDefault="000A2397" w:rsidP="000A2397">
      <w:pPr>
        <w:rPr>
          <w:rFonts w:ascii="Segoe UI" w:hAnsi="Segoe UI" w:cs="Segoe UI"/>
          <w:sz w:val="22"/>
          <w:szCs w:val="22"/>
          <w:lang w:val="it-IT"/>
        </w:rPr>
      </w:pPr>
    </w:p>
    <w:p w14:paraId="1F68CB89" w14:textId="77777777" w:rsidR="000A2397" w:rsidRPr="0051432D" w:rsidRDefault="000A2397" w:rsidP="000A2397">
      <w:pPr>
        <w:jc w:val="center"/>
        <w:rPr>
          <w:rFonts w:ascii="Segoe UI" w:hAnsi="Segoe UI" w:cs="Segoe UI"/>
          <w:sz w:val="22"/>
          <w:szCs w:val="22"/>
          <w:lang w:val="it-IT"/>
        </w:rPr>
      </w:pPr>
      <w:r w:rsidRPr="0051432D">
        <w:rPr>
          <w:rFonts w:ascii="Segoe UI" w:hAnsi="Segoe UI" w:cs="Segoe UI"/>
          <w:sz w:val="22"/>
          <w:szCs w:val="22"/>
          <w:lang w:val="it-IT"/>
        </w:rPr>
        <w:t>_____________</w:t>
      </w:r>
    </w:p>
    <w:sectPr w:rsidR="000A2397" w:rsidRPr="0051432D" w:rsidSect="00EA01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C0FEA" w14:textId="77777777" w:rsidR="00F30464" w:rsidRDefault="00F30464" w:rsidP="000A2397">
      <w:r>
        <w:separator/>
      </w:r>
    </w:p>
  </w:endnote>
  <w:endnote w:type="continuationSeparator" w:id="0">
    <w:p w14:paraId="782BA760" w14:textId="77777777" w:rsidR="00F30464" w:rsidRDefault="00F30464" w:rsidP="000A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16801" w14:textId="77777777" w:rsidR="00F30464" w:rsidRDefault="00F30464" w:rsidP="000A2397">
      <w:r>
        <w:separator/>
      </w:r>
    </w:p>
  </w:footnote>
  <w:footnote w:type="continuationSeparator" w:id="0">
    <w:p w14:paraId="0227FBF9" w14:textId="77777777" w:rsidR="00F30464" w:rsidRDefault="00F30464" w:rsidP="000A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732D3"/>
    <w:multiLevelType w:val="hybridMultilevel"/>
    <w:tmpl w:val="5898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85CDD"/>
    <w:multiLevelType w:val="hybridMultilevel"/>
    <w:tmpl w:val="9F949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D6449"/>
    <w:multiLevelType w:val="hybridMultilevel"/>
    <w:tmpl w:val="2E38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C61C8"/>
    <w:multiLevelType w:val="hybridMultilevel"/>
    <w:tmpl w:val="26B4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D12E7"/>
    <w:multiLevelType w:val="hybridMultilevel"/>
    <w:tmpl w:val="CC5A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0C"/>
    <w:rsid w:val="000355FC"/>
    <w:rsid w:val="00042CAA"/>
    <w:rsid w:val="00071948"/>
    <w:rsid w:val="00081D3A"/>
    <w:rsid w:val="00083A3A"/>
    <w:rsid w:val="00085B0C"/>
    <w:rsid w:val="00095F43"/>
    <w:rsid w:val="000A2397"/>
    <w:rsid w:val="000B48A3"/>
    <w:rsid w:val="000D0F14"/>
    <w:rsid w:val="000E0DBE"/>
    <w:rsid w:val="000E1001"/>
    <w:rsid w:val="000F2288"/>
    <w:rsid w:val="000F5444"/>
    <w:rsid w:val="00100D02"/>
    <w:rsid w:val="00107BA0"/>
    <w:rsid w:val="00113E99"/>
    <w:rsid w:val="00161DB9"/>
    <w:rsid w:val="001A2D83"/>
    <w:rsid w:val="001C05E2"/>
    <w:rsid w:val="00210AF5"/>
    <w:rsid w:val="00222A48"/>
    <w:rsid w:val="0024552E"/>
    <w:rsid w:val="00261F06"/>
    <w:rsid w:val="002835D3"/>
    <w:rsid w:val="002C4D41"/>
    <w:rsid w:val="002D3D76"/>
    <w:rsid w:val="003217AA"/>
    <w:rsid w:val="003257AD"/>
    <w:rsid w:val="00326C90"/>
    <w:rsid w:val="003353BE"/>
    <w:rsid w:val="00361617"/>
    <w:rsid w:val="00363968"/>
    <w:rsid w:val="00373294"/>
    <w:rsid w:val="00376241"/>
    <w:rsid w:val="003837FD"/>
    <w:rsid w:val="003913A9"/>
    <w:rsid w:val="003C102A"/>
    <w:rsid w:val="003D53EC"/>
    <w:rsid w:val="003F1B78"/>
    <w:rsid w:val="004075A7"/>
    <w:rsid w:val="004139EA"/>
    <w:rsid w:val="004572C5"/>
    <w:rsid w:val="00471F43"/>
    <w:rsid w:val="004B44B7"/>
    <w:rsid w:val="004C17EA"/>
    <w:rsid w:val="004C3774"/>
    <w:rsid w:val="004C463C"/>
    <w:rsid w:val="004C730C"/>
    <w:rsid w:val="004D51CE"/>
    <w:rsid w:val="004E5AF6"/>
    <w:rsid w:val="00507F32"/>
    <w:rsid w:val="0051240F"/>
    <w:rsid w:val="0051432D"/>
    <w:rsid w:val="005351AC"/>
    <w:rsid w:val="00553549"/>
    <w:rsid w:val="00560521"/>
    <w:rsid w:val="00560C30"/>
    <w:rsid w:val="00567086"/>
    <w:rsid w:val="00574477"/>
    <w:rsid w:val="005937FF"/>
    <w:rsid w:val="005A74A7"/>
    <w:rsid w:val="005B2849"/>
    <w:rsid w:val="005C16E9"/>
    <w:rsid w:val="005C5B4D"/>
    <w:rsid w:val="005D0968"/>
    <w:rsid w:val="005D412E"/>
    <w:rsid w:val="005D6C4E"/>
    <w:rsid w:val="00645814"/>
    <w:rsid w:val="00660E81"/>
    <w:rsid w:val="00664CFA"/>
    <w:rsid w:val="006742A7"/>
    <w:rsid w:val="00675420"/>
    <w:rsid w:val="0067542D"/>
    <w:rsid w:val="00682D72"/>
    <w:rsid w:val="006A2DE6"/>
    <w:rsid w:val="006C0F2C"/>
    <w:rsid w:val="007039A5"/>
    <w:rsid w:val="00704B41"/>
    <w:rsid w:val="00706E8C"/>
    <w:rsid w:val="00753CCC"/>
    <w:rsid w:val="00783A31"/>
    <w:rsid w:val="00794AC5"/>
    <w:rsid w:val="007C51FD"/>
    <w:rsid w:val="007E4683"/>
    <w:rsid w:val="007E572A"/>
    <w:rsid w:val="007E7BED"/>
    <w:rsid w:val="007F3E8D"/>
    <w:rsid w:val="00810FF8"/>
    <w:rsid w:val="00832D4A"/>
    <w:rsid w:val="008362A8"/>
    <w:rsid w:val="00850D54"/>
    <w:rsid w:val="008A29F1"/>
    <w:rsid w:val="008D171E"/>
    <w:rsid w:val="008D2932"/>
    <w:rsid w:val="008F34A2"/>
    <w:rsid w:val="009039CB"/>
    <w:rsid w:val="0090446D"/>
    <w:rsid w:val="00921228"/>
    <w:rsid w:val="00942281"/>
    <w:rsid w:val="00943610"/>
    <w:rsid w:val="00945449"/>
    <w:rsid w:val="0094603F"/>
    <w:rsid w:val="00955532"/>
    <w:rsid w:val="0096749F"/>
    <w:rsid w:val="00980D62"/>
    <w:rsid w:val="0098165A"/>
    <w:rsid w:val="00990B3A"/>
    <w:rsid w:val="0099526E"/>
    <w:rsid w:val="009B06A8"/>
    <w:rsid w:val="009D12A6"/>
    <w:rsid w:val="009E6C03"/>
    <w:rsid w:val="00A01D70"/>
    <w:rsid w:val="00A956BF"/>
    <w:rsid w:val="00A96EF6"/>
    <w:rsid w:val="00AA4215"/>
    <w:rsid w:val="00AF4817"/>
    <w:rsid w:val="00B2500A"/>
    <w:rsid w:val="00B256C2"/>
    <w:rsid w:val="00B27439"/>
    <w:rsid w:val="00B30EDD"/>
    <w:rsid w:val="00B65225"/>
    <w:rsid w:val="00B72FEB"/>
    <w:rsid w:val="00BB61EA"/>
    <w:rsid w:val="00BC3C78"/>
    <w:rsid w:val="00BD1049"/>
    <w:rsid w:val="00C1229E"/>
    <w:rsid w:val="00C124A9"/>
    <w:rsid w:val="00C2725D"/>
    <w:rsid w:val="00C4505B"/>
    <w:rsid w:val="00C858B7"/>
    <w:rsid w:val="00C95652"/>
    <w:rsid w:val="00CB3116"/>
    <w:rsid w:val="00CD6C5C"/>
    <w:rsid w:val="00CD7148"/>
    <w:rsid w:val="00CE2611"/>
    <w:rsid w:val="00CF62E6"/>
    <w:rsid w:val="00D04891"/>
    <w:rsid w:val="00D068E6"/>
    <w:rsid w:val="00D3737D"/>
    <w:rsid w:val="00D4792A"/>
    <w:rsid w:val="00D85642"/>
    <w:rsid w:val="00DA34B2"/>
    <w:rsid w:val="00DB261E"/>
    <w:rsid w:val="00DF4FD3"/>
    <w:rsid w:val="00E12E5A"/>
    <w:rsid w:val="00E259AD"/>
    <w:rsid w:val="00E40B95"/>
    <w:rsid w:val="00E5578A"/>
    <w:rsid w:val="00E9728E"/>
    <w:rsid w:val="00E97C71"/>
    <w:rsid w:val="00EA0170"/>
    <w:rsid w:val="00EB6ABD"/>
    <w:rsid w:val="00EC3D91"/>
    <w:rsid w:val="00EC785A"/>
    <w:rsid w:val="00ED1657"/>
    <w:rsid w:val="00ED2694"/>
    <w:rsid w:val="00F30464"/>
    <w:rsid w:val="00F345F4"/>
    <w:rsid w:val="00F666A2"/>
    <w:rsid w:val="00F67536"/>
    <w:rsid w:val="00F75975"/>
    <w:rsid w:val="00F8016B"/>
    <w:rsid w:val="00F94769"/>
    <w:rsid w:val="00FA72F1"/>
    <w:rsid w:val="00FB40C4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46440"/>
  <w15:docId w15:val="{00893CE6-D986-4476-A4F0-13EB174B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3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AB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A23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2397"/>
    <w:rPr>
      <w:sz w:val="24"/>
      <w:szCs w:val="24"/>
    </w:rPr>
  </w:style>
  <w:style w:type="paragraph" w:styleId="Footer">
    <w:name w:val="footer"/>
    <w:basedOn w:val="Normal"/>
    <w:link w:val="FooterChar"/>
    <w:rsid w:val="000A23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2397"/>
    <w:rPr>
      <w:sz w:val="24"/>
      <w:szCs w:val="24"/>
    </w:rPr>
  </w:style>
  <w:style w:type="character" w:styleId="CommentReference">
    <w:name w:val="annotation reference"/>
    <w:basedOn w:val="DefaultParagraphFont"/>
    <w:rsid w:val="00161D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1DB9"/>
  </w:style>
  <w:style w:type="paragraph" w:styleId="CommentSubject">
    <w:name w:val="annotation subject"/>
    <w:basedOn w:val="CommentText"/>
    <w:next w:val="CommentText"/>
    <w:link w:val="CommentSubjectChar"/>
    <w:rsid w:val="00161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DB9"/>
    <w:rPr>
      <w:b/>
      <w:bCs/>
    </w:rPr>
  </w:style>
  <w:style w:type="paragraph" w:styleId="BalloonText">
    <w:name w:val="Balloon Text"/>
    <w:basedOn w:val="Normal"/>
    <w:link w:val="BalloonTextChar"/>
    <w:rsid w:val="00161D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58D1-21E0-4C06-ABCA-E029D57E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UEFA</Company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Harte Adrian</dc:creator>
  <cp:lastModifiedBy>Perry Sefton</cp:lastModifiedBy>
  <cp:revision>2</cp:revision>
  <dcterms:created xsi:type="dcterms:W3CDTF">2017-01-11T08:41:00Z</dcterms:created>
  <dcterms:modified xsi:type="dcterms:W3CDTF">2017-01-11T08:41:00Z</dcterms:modified>
</cp:coreProperties>
</file>