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6090" w14:textId="77777777" w:rsidR="003014BF" w:rsidRPr="00A20D0A" w:rsidRDefault="00EB41D7" w:rsidP="00FE046F">
      <w:pPr>
        <w:pStyle w:val="Title"/>
        <w:pBdr>
          <w:top w:val="single" w:sz="8" w:space="6" w:color="DC6900"/>
        </w:pBdr>
        <w:rPr>
          <w:rFonts w:ascii="Georgia" w:hAnsi="Georgia"/>
          <w:sz w:val="28"/>
          <w:szCs w:val="28"/>
        </w:rPr>
      </w:pPr>
      <w:r w:rsidRPr="00A20D0A">
        <w:rPr>
          <w:rFonts w:ascii="Georgia" w:hAnsi="Georgia"/>
          <w:sz w:val="28"/>
          <w:szCs w:val="28"/>
        </w:rPr>
        <w:t>News</w:t>
      </w:r>
      <w:r w:rsidR="00FD427C" w:rsidRPr="00A20D0A">
        <w:rPr>
          <w:rFonts w:ascii="Georgia" w:hAnsi="Georgia"/>
          <w:sz w:val="28"/>
          <w:szCs w:val="28"/>
        </w:rPr>
        <w:t xml:space="preserve"> r</w:t>
      </w:r>
      <w:r w:rsidR="00B915A4" w:rsidRPr="00A20D0A">
        <w:rPr>
          <w:rFonts w:ascii="Georgia" w:hAnsi="Georgia"/>
          <w:sz w:val="28"/>
          <w:szCs w:val="28"/>
        </w:rPr>
        <w:t>elease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629"/>
      </w:tblGrid>
      <w:tr w:rsidR="003014BF" w:rsidRPr="00A20D0A" w14:paraId="06006E46" w14:textId="77777777" w:rsidTr="00A611CA">
        <w:tc>
          <w:tcPr>
            <w:tcW w:w="2268" w:type="dxa"/>
            <w:shd w:val="clear" w:color="auto" w:fill="auto"/>
          </w:tcPr>
          <w:p w14:paraId="5D4D49A8" w14:textId="77777777" w:rsidR="003014BF" w:rsidRPr="00A20D0A" w:rsidRDefault="00EB59E8">
            <w:pPr>
              <w:rPr>
                <w:i/>
                <w:sz w:val="22"/>
              </w:rPr>
            </w:pPr>
            <w:r w:rsidRPr="00A20D0A">
              <w:rPr>
                <w:i/>
                <w:sz w:val="22"/>
              </w:rPr>
              <w:t>Date</w:t>
            </w:r>
          </w:p>
        </w:tc>
        <w:tc>
          <w:tcPr>
            <w:tcW w:w="6629" w:type="dxa"/>
            <w:shd w:val="clear" w:color="auto" w:fill="auto"/>
          </w:tcPr>
          <w:p w14:paraId="790F8799" w14:textId="72FD1A36" w:rsidR="00850F9A" w:rsidRPr="00820F31" w:rsidRDefault="005C4584" w:rsidP="00850F9A">
            <w:pPr>
              <w:rPr>
                <w:b/>
                <w:sz w:val="22"/>
              </w:rPr>
            </w:pPr>
            <w:r w:rsidRPr="00820F31">
              <w:rPr>
                <w:b/>
                <w:sz w:val="22"/>
              </w:rPr>
              <w:t>5</w:t>
            </w:r>
            <w:r w:rsidRPr="00820F31">
              <w:rPr>
                <w:b/>
                <w:sz w:val="22"/>
                <w:vertAlign w:val="superscript"/>
              </w:rPr>
              <w:t>th</w:t>
            </w:r>
            <w:r w:rsidRPr="00820F31">
              <w:rPr>
                <w:b/>
                <w:sz w:val="22"/>
              </w:rPr>
              <w:t xml:space="preserve"> of June 2017</w:t>
            </w:r>
          </w:p>
          <w:p w14:paraId="63D1E30E" w14:textId="77777777" w:rsidR="000E5BB5" w:rsidRPr="00820F31" w:rsidRDefault="000E5BB5" w:rsidP="000E5BB5">
            <w:pPr>
              <w:rPr>
                <w:b/>
                <w:sz w:val="22"/>
              </w:rPr>
            </w:pPr>
          </w:p>
        </w:tc>
      </w:tr>
      <w:tr w:rsidR="003014BF" w:rsidRPr="00A20D0A" w14:paraId="4CCEF9CE" w14:textId="77777777" w:rsidTr="00A611CA">
        <w:tc>
          <w:tcPr>
            <w:tcW w:w="2268" w:type="dxa"/>
            <w:shd w:val="clear" w:color="auto" w:fill="auto"/>
          </w:tcPr>
          <w:p w14:paraId="59933344" w14:textId="77777777" w:rsidR="003014BF" w:rsidRPr="00A20D0A" w:rsidRDefault="00EB59E8">
            <w:pPr>
              <w:rPr>
                <w:i/>
                <w:sz w:val="22"/>
              </w:rPr>
            </w:pPr>
            <w:r w:rsidRPr="00A20D0A">
              <w:rPr>
                <w:i/>
                <w:sz w:val="22"/>
              </w:rPr>
              <w:t>Contact</w:t>
            </w:r>
          </w:p>
        </w:tc>
        <w:tc>
          <w:tcPr>
            <w:tcW w:w="6629" w:type="dxa"/>
            <w:shd w:val="clear" w:color="auto" w:fill="auto"/>
          </w:tcPr>
          <w:p w14:paraId="7F22AE9C" w14:textId="77777777" w:rsidR="00D95AB0" w:rsidRPr="00850F9A" w:rsidRDefault="00C948E7" w:rsidP="00D95AB0">
            <w:pPr>
              <w:tabs>
                <w:tab w:val="left" w:pos="1440"/>
              </w:tabs>
              <w:ind w:left="1440" w:hanging="1440"/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2"/>
              </w:rPr>
              <w:t>Joyce Au-Yong,</w:t>
            </w:r>
            <w:r w:rsidR="00D95AB0" w:rsidRPr="00850F9A">
              <w:rPr>
                <w:rFonts w:cs="Arial"/>
                <w:bCs/>
                <w:sz w:val="22"/>
              </w:rPr>
              <w:t xml:space="preserve"> PwC</w:t>
            </w:r>
            <w:r>
              <w:rPr>
                <w:rFonts w:cs="Arial"/>
                <w:bCs/>
                <w:sz w:val="22"/>
              </w:rPr>
              <w:t xml:space="preserve"> Growth Markets Centre</w:t>
            </w:r>
          </w:p>
          <w:p w14:paraId="7091A0FD" w14:textId="77777777" w:rsidR="00D95AB0" w:rsidRPr="00850F9A" w:rsidRDefault="00D95AB0" w:rsidP="00D95AB0">
            <w:pPr>
              <w:tabs>
                <w:tab w:val="left" w:pos="1440"/>
              </w:tabs>
              <w:ind w:left="1440" w:hanging="1440"/>
              <w:rPr>
                <w:rFonts w:cs="Arial"/>
                <w:sz w:val="22"/>
              </w:rPr>
            </w:pPr>
            <w:r w:rsidRPr="00850F9A">
              <w:rPr>
                <w:rFonts w:cs="Arial"/>
                <w:sz w:val="22"/>
              </w:rPr>
              <w:t>Tel: +</w:t>
            </w:r>
            <w:r w:rsidR="00C948E7">
              <w:rPr>
                <w:rFonts w:cs="Arial"/>
                <w:sz w:val="22"/>
              </w:rPr>
              <w:t xml:space="preserve">65 </w:t>
            </w:r>
            <w:r w:rsidR="008D74BC">
              <w:rPr>
                <w:rFonts w:cs="Arial"/>
                <w:sz w:val="22"/>
              </w:rPr>
              <w:t xml:space="preserve">8299 1108 </w:t>
            </w:r>
          </w:p>
          <w:p w14:paraId="1DD9EFBD" w14:textId="77777777" w:rsidR="00C20808" w:rsidRPr="00850F9A" w:rsidRDefault="00D95AB0" w:rsidP="00C948E7">
            <w:pPr>
              <w:tabs>
                <w:tab w:val="left" w:pos="1440"/>
              </w:tabs>
              <w:ind w:left="1440" w:hanging="1440"/>
              <w:rPr>
                <w:rFonts w:cs="Arial"/>
                <w:color w:val="000000" w:themeColor="text1"/>
                <w:sz w:val="22"/>
              </w:rPr>
            </w:pPr>
            <w:r w:rsidRPr="00850F9A">
              <w:rPr>
                <w:rFonts w:cs="Arial"/>
                <w:sz w:val="22"/>
              </w:rPr>
              <w:t>e-mail:</w:t>
            </w:r>
            <w:r w:rsidRPr="00850F9A">
              <w:rPr>
                <w:rFonts w:cs="Arial"/>
                <w:color w:val="000000" w:themeColor="text1"/>
                <w:sz w:val="22"/>
              </w:rPr>
              <w:t xml:space="preserve"> </w:t>
            </w:r>
            <w:hyperlink r:id="rId8" w:history="1">
              <w:r w:rsidR="00C948E7" w:rsidRPr="005E2B54">
                <w:rPr>
                  <w:rStyle w:val="Hyperlink"/>
                </w:rPr>
                <w:t>joyce.yk.au-yong@sg.pwc.com</w:t>
              </w:r>
            </w:hyperlink>
            <w:r w:rsidR="00C948E7">
              <w:t xml:space="preserve"> </w:t>
            </w:r>
          </w:p>
        </w:tc>
      </w:tr>
      <w:tr w:rsidR="003014BF" w:rsidRPr="00A20D0A" w14:paraId="09E66681" w14:textId="77777777" w:rsidTr="00A611CA">
        <w:tc>
          <w:tcPr>
            <w:tcW w:w="2268" w:type="dxa"/>
            <w:shd w:val="clear" w:color="auto" w:fill="auto"/>
          </w:tcPr>
          <w:p w14:paraId="3B522D00" w14:textId="77777777" w:rsidR="00A43813" w:rsidRPr="00850F9A" w:rsidRDefault="00A43813">
            <w:pPr>
              <w:rPr>
                <w:i/>
                <w:sz w:val="22"/>
              </w:rPr>
            </w:pPr>
          </w:p>
          <w:p w14:paraId="5A9538AF" w14:textId="77777777" w:rsidR="00A43813" w:rsidRPr="00850F9A" w:rsidRDefault="00A43813">
            <w:pPr>
              <w:rPr>
                <w:i/>
                <w:sz w:val="22"/>
              </w:rPr>
            </w:pPr>
          </w:p>
          <w:p w14:paraId="29AC69B1" w14:textId="77777777" w:rsidR="00A43813" w:rsidRPr="00850F9A" w:rsidRDefault="00A43813">
            <w:pPr>
              <w:rPr>
                <w:i/>
                <w:sz w:val="22"/>
              </w:rPr>
            </w:pPr>
          </w:p>
          <w:p w14:paraId="565F7627" w14:textId="77777777" w:rsidR="00A12B7C" w:rsidRPr="00850F9A" w:rsidRDefault="00A12B7C">
            <w:pPr>
              <w:rPr>
                <w:i/>
                <w:sz w:val="22"/>
              </w:rPr>
            </w:pPr>
          </w:p>
          <w:p w14:paraId="2744A19E" w14:textId="77777777" w:rsidR="003014BF" w:rsidRPr="00F904D0" w:rsidRDefault="00CF1E36">
            <w:pPr>
              <w:rPr>
                <w:i/>
                <w:sz w:val="22"/>
              </w:rPr>
            </w:pPr>
            <w:r w:rsidRPr="00F904D0">
              <w:rPr>
                <w:i/>
                <w:sz w:val="22"/>
              </w:rPr>
              <w:t>Pages</w:t>
            </w:r>
          </w:p>
        </w:tc>
        <w:tc>
          <w:tcPr>
            <w:tcW w:w="6629" w:type="dxa"/>
            <w:shd w:val="clear" w:color="auto" w:fill="auto"/>
          </w:tcPr>
          <w:p w14:paraId="0EF8F003" w14:textId="77777777" w:rsidR="00073420" w:rsidRPr="00F904D0" w:rsidRDefault="00073420" w:rsidP="00073420">
            <w:pPr>
              <w:rPr>
                <w:sz w:val="22"/>
              </w:rPr>
            </w:pPr>
          </w:p>
          <w:p w14:paraId="7F1C4CBF" w14:textId="77777777" w:rsidR="009A7589" w:rsidRDefault="00A43813" w:rsidP="00A43813">
            <w:r w:rsidRPr="00A20D0A">
              <w:rPr>
                <w:color w:val="000000" w:themeColor="text1"/>
                <w:sz w:val="22"/>
              </w:rPr>
              <w:t xml:space="preserve">More details: </w:t>
            </w:r>
            <w:hyperlink r:id="rId9" w:history="1">
              <w:r w:rsidR="009A7589" w:rsidRPr="003834F7">
                <w:rPr>
                  <w:rStyle w:val="Hyperlink"/>
                </w:rPr>
                <w:t>http://pwc.to/2pJOyND</w:t>
              </w:r>
            </w:hyperlink>
          </w:p>
          <w:p w14:paraId="7BB93B49" w14:textId="77777777" w:rsidR="00A43813" w:rsidRPr="009A7589" w:rsidRDefault="00A43813" w:rsidP="00A43813">
            <w:pPr>
              <w:rPr>
                <w:color w:val="FF0000"/>
              </w:rPr>
            </w:pPr>
            <w:r w:rsidRPr="00F904D0">
              <w:rPr>
                <w:color w:val="000000" w:themeColor="text1"/>
                <w:sz w:val="22"/>
              </w:rPr>
              <w:t>Follow/retweet: @</w:t>
            </w:r>
            <w:r w:rsidR="00AE3B4D" w:rsidRPr="00A20D0A">
              <w:rPr>
                <w:color w:val="000000" w:themeColor="text1"/>
                <w:sz w:val="22"/>
              </w:rPr>
              <w:t>PwC</w:t>
            </w:r>
            <w:r w:rsidR="00C948E7">
              <w:rPr>
                <w:color w:val="000000" w:themeColor="text1"/>
                <w:sz w:val="22"/>
              </w:rPr>
              <w:t>_GMC</w:t>
            </w:r>
          </w:p>
          <w:p w14:paraId="0C24621F" w14:textId="77777777" w:rsidR="00A43813" w:rsidRPr="00850F9A" w:rsidRDefault="00A43813">
            <w:pPr>
              <w:rPr>
                <w:sz w:val="22"/>
              </w:rPr>
            </w:pPr>
          </w:p>
          <w:p w14:paraId="6AD509D0" w14:textId="77777777" w:rsidR="003014BF" w:rsidRPr="00F904D0" w:rsidRDefault="00BC134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14:paraId="66F712BE" w14:textId="77777777" w:rsidR="001550F4" w:rsidRPr="00850F9A" w:rsidRDefault="001550F4" w:rsidP="001550F4">
      <w:pPr>
        <w:autoSpaceDE w:val="0"/>
        <w:autoSpaceDN w:val="0"/>
        <w:adjustRightInd w:val="0"/>
        <w:spacing w:line="240" w:lineRule="auto"/>
        <w:rPr>
          <w:rFonts w:cs="CharterITC-Regu"/>
          <w:b/>
          <w:color w:val="000000" w:themeColor="text1"/>
          <w:sz w:val="28"/>
          <w:szCs w:val="28"/>
        </w:rPr>
      </w:pPr>
      <w:r w:rsidRPr="00991A93">
        <w:rPr>
          <w:noProof/>
          <w:sz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419217" wp14:editId="5F8E5272">
                <wp:simplePos x="0" y="0"/>
                <wp:positionH relativeFrom="margin">
                  <wp:align>left</wp:align>
                </wp:positionH>
                <wp:positionV relativeFrom="page">
                  <wp:posOffset>4184765</wp:posOffset>
                </wp:positionV>
                <wp:extent cx="5779135" cy="0"/>
                <wp:effectExtent l="0" t="0" r="3111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5265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page;mso-height-relative:page" from="0,329.5pt" to="455.0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" strokecolor="#e36c0a">
                <w10:wrap anchorx="margin" anchory="page"/>
              </v:line>
            </w:pict>
          </mc:Fallback>
        </mc:AlternateContent>
      </w:r>
    </w:p>
    <w:p w14:paraId="2F96DF7C" w14:textId="77777777" w:rsidR="00351C2A" w:rsidRPr="00850F9A" w:rsidRDefault="00351C2A" w:rsidP="00351C2A">
      <w:pPr>
        <w:autoSpaceDE w:val="0"/>
        <w:autoSpaceDN w:val="0"/>
        <w:adjustRightInd w:val="0"/>
        <w:spacing w:line="240" w:lineRule="auto"/>
        <w:jc w:val="center"/>
        <w:rPr>
          <w:b/>
          <w:sz w:val="22"/>
        </w:rPr>
      </w:pPr>
    </w:p>
    <w:p w14:paraId="1A9D2B46" w14:textId="688855F1" w:rsidR="0006592C" w:rsidRPr="008D74BC" w:rsidRDefault="0006592C" w:rsidP="0006592C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Repaving the ancient Silk Routes:</w:t>
      </w:r>
    </w:p>
    <w:p w14:paraId="4A08776E" w14:textId="5BADA002" w:rsidR="00255EA7" w:rsidRDefault="00255EA7" w:rsidP="0006592C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PwC Growth Markets Centre launches new report</w:t>
      </w:r>
    </w:p>
    <w:p w14:paraId="7A422B03" w14:textId="77777777" w:rsidR="00166851" w:rsidRDefault="00166851" w:rsidP="00831D85">
      <w:pPr>
        <w:autoSpaceDE w:val="0"/>
        <w:autoSpaceDN w:val="0"/>
        <w:adjustRightInd w:val="0"/>
        <w:spacing w:line="240" w:lineRule="auto"/>
        <w:rPr>
          <w:b/>
          <w:sz w:val="22"/>
        </w:rPr>
      </w:pPr>
    </w:p>
    <w:p w14:paraId="5778FC0A" w14:textId="77777777" w:rsidR="00D10EED" w:rsidRPr="00850F9A" w:rsidRDefault="00D10EED" w:rsidP="00831D85">
      <w:pPr>
        <w:autoSpaceDE w:val="0"/>
        <w:autoSpaceDN w:val="0"/>
        <w:adjustRightInd w:val="0"/>
        <w:spacing w:line="240" w:lineRule="auto"/>
        <w:rPr>
          <w:b/>
          <w:sz w:val="22"/>
        </w:rPr>
      </w:pPr>
    </w:p>
    <w:p w14:paraId="6800DCD9" w14:textId="77777777" w:rsidR="00820F31" w:rsidRDefault="00C948E7" w:rsidP="00831D85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rFonts w:cs="CharterITCStd-Regular"/>
          <w:szCs w:val="20"/>
        </w:rPr>
        <w:t>PwC’s</w:t>
      </w:r>
      <w:r w:rsidR="0068344E" w:rsidRPr="00850F9A">
        <w:rPr>
          <w:rFonts w:cs="CharterITCStd-Regular"/>
          <w:szCs w:val="20"/>
        </w:rPr>
        <w:t xml:space="preserve"> </w:t>
      </w:r>
      <w:r w:rsidR="0068344E" w:rsidRPr="00850F9A">
        <w:rPr>
          <w:szCs w:val="20"/>
        </w:rPr>
        <w:t>Growth Markets Centre</w:t>
      </w:r>
      <w:r w:rsidR="00A20D0A" w:rsidRPr="00850F9A">
        <w:rPr>
          <w:szCs w:val="20"/>
        </w:rPr>
        <w:t xml:space="preserve"> </w:t>
      </w:r>
      <w:r w:rsidR="004A6DB7">
        <w:rPr>
          <w:szCs w:val="20"/>
        </w:rPr>
        <w:t xml:space="preserve">has </w:t>
      </w:r>
      <w:r w:rsidR="00E1070E">
        <w:rPr>
          <w:rFonts w:cs="CharterITCStd-Regular"/>
          <w:szCs w:val="20"/>
        </w:rPr>
        <w:t xml:space="preserve">launched </w:t>
      </w:r>
      <w:r w:rsidR="000B3F74">
        <w:rPr>
          <w:rFonts w:cs="CharterITCStd-Regular"/>
          <w:szCs w:val="20"/>
        </w:rPr>
        <w:t xml:space="preserve">its </w:t>
      </w:r>
      <w:r w:rsidR="00255EA7">
        <w:rPr>
          <w:rFonts w:cs="CharterITCStd-Regular"/>
          <w:szCs w:val="20"/>
        </w:rPr>
        <w:t xml:space="preserve">latest </w:t>
      </w:r>
      <w:r w:rsidR="00431D40">
        <w:rPr>
          <w:rFonts w:cs="CharterITCStd-Regular"/>
          <w:szCs w:val="20"/>
        </w:rPr>
        <w:t xml:space="preserve">report </w:t>
      </w:r>
      <w:r w:rsidR="009A7589" w:rsidRPr="009A7589">
        <w:rPr>
          <w:rFonts w:cs="CharterITCStd-Regular"/>
          <w:i/>
          <w:szCs w:val="20"/>
        </w:rPr>
        <w:t>‘</w:t>
      </w:r>
      <w:r w:rsidR="009A7589" w:rsidRPr="009A7589">
        <w:rPr>
          <w:i/>
          <w:szCs w:val="20"/>
        </w:rPr>
        <w:t>Re</w:t>
      </w:r>
      <w:r w:rsidR="00D70E73">
        <w:rPr>
          <w:i/>
          <w:szCs w:val="20"/>
        </w:rPr>
        <w:t>p</w:t>
      </w:r>
      <w:r w:rsidR="00255EA7">
        <w:rPr>
          <w:i/>
          <w:szCs w:val="20"/>
        </w:rPr>
        <w:t xml:space="preserve">aving the ancient Silk Routes’ </w:t>
      </w:r>
      <w:r w:rsidR="00255EA7">
        <w:rPr>
          <w:szCs w:val="20"/>
        </w:rPr>
        <w:t>today</w:t>
      </w:r>
      <w:r w:rsidR="00431D40">
        <w:rPr>
          <w:szCs w:val="20"/>
        </w:rPr>
        <w:t xml:space="preserve">. </w:t>
      </w:r>
    </w:p>
    <w:p w14:paraId="2AADA09C" w14:textId="77777777" w:rsidR="00820F31" w:rsidRDefault="00820F31" w:rsidP="00831D8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5769DF7A" w14:textId="04256C05" w:rsidR="006846F1" w:rsidRDefault="00431D40" w:rsidP="00831D85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 xml:space="preserve">The report </w:t>
      </w:r>
      <w:r w:rsidR="007D487C">
        <w:rPr>
          <w:szCs w:val="20"/>
        </w:rPr>
        <w:t>covers</w:t>
      </w:r>
      <w:r>
        <w:rPr>
          <w:szCs w:val="20"/>
        </w:rPr>
        <w:t xml:space="preserve"> China’s</w:t>
      </w:r>
      <w:r w:rsidR="00055FBC">
        <w:rPr>
          <w:szCs w:val="20"/>
        </w:rPr>
        <w:t xml:space="preserve"> Belt and Road (B&amp;R) initiative – a concept that was announced by China’s President Xi Jinping in 2013 </w:t>
      </w:r>
      <w:r w:rsidR="003B2A11">
        <w:rPr>
          <w:szCs w:val="20"/>
        </w:rPr>
        <w:t xml:space="preserve">to rebuild the ancient Silk Route that connects China to Europe via Central Asia </w:t>
      </w:r>
      <w:r w:rsidR="00055FBC">
        <w:rPr>
          <w:szCs w:val="20"/>
        </w:rPr>
        <w:t>–</w:t>
      </w:r>
      <w:r w:rsidR="004A6DB7">
        <w:rPr>
          <w:szCs w:val="20"/>
        </w:rPr>
        <w:t xml:space="preserve"> </w:t>
      </w:r>
      <w:r w:rsidR="00E1070E">
        <w:rPr>
          <w:szCs w:val="20"/>
        </w:rPr>
        <w:t>which</w:t>
      </w:r>
      <w:r w:rsidR="00055FBC">
        <w:rPr>
          <w:szCs w:val="20"/>
        </w:rPr>
        <w:t xml:space="preserve"> </w:t>
      </w:r>
      <w:r w:rsidR="007920D4">
        <w:rPr>
          <w:szCs w:val="20"/>
        </w:rPr>
        <w:t xml:space="preserve">has </w:t>
      </w:r>
      <w:r w:rsidR="00055FBC">
        <w:rPr>
          <w:szCs w:val="20"/>
        </w:rPr>
        <w:t xml:space="preserve">since gained significant economic momentum. </w:t>
      </w:r>
      <w:r w:rsidR="005724D0">
        <w:rPr>
          <w:szCs w:val="20"/>
        </w:rPr>
        <w:t xml:space="preserve">Kept broad and inclusive by the Chinese government, the B&amp;R’s expansive ecosystem </w:t>
      </w:r>
      <w:r w:rsidR="0015306A">
        <w:rPr>
          <w:szCs w:val="20"/>
        </w:rPr>
        <w:t xml:space="preserve">now </w:t>
      </w:r>
      <w:r w:rsidR="005724D0">
        <w:rPr>
          <w:szCs w:val="20"/>
        </w:rPr>
        <w:t>include railways, airports, and even a maritime route</w:t>
      </w:r>
      <w:r w:rsidR="005724D0" w:rsidRPr="005724D0">
        <w:rPr>
          <w:szCs w:val="20"/>
        </w:rPr>
        <w:t xml:space="preserve">. </w:t>
      </w:r>
      <w:r w:rsidR="007920D4">
        <w:rPr>
          <w:szCs w:val="20"/>
        </w:rPr>
        <w:t>The initiative</w:t>
      </w:r>
      <w:r w:rsidR="0015306A">
        <w:rPr>
          <w:szCs w:val="20"/>
        </w:rPr>
        <w:t xml:space="preserve"> goes beyond just geopolitics and embraces the promotion of commercial interests, trade, culture and </w:t>
      </w:r>
      <w:r w:rsidR="00942B71">
        <w:rPr>
          <w:szCs w:val="20"/>
        </w:rPr>
        <w:t xml:space="preserve">social </w:t>
      </w:r>
      <w:r w:rsidR="0015306A">
        <w:rPr>
          <w:szCs w:val="20"/>
        </w:rPr>
        <w:t>integration.</w:t>
      </w:r>
    </w:p>
    <w:p w14:paraId="13AF2EFA" w14:textId="77777777" w:rsidR="006846F1" w:rsidRDefault="006846F1" w:rsidP="00831D8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2A9F6A0" w14:textId="5E95FB37" w:rsidR="00CF0369" w:rsidRDefault="005724D0" w:rsidP="00831D85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724D0">
        <w:rPr>
          <w:szCs w:val="20"/>
        </w:rPr>
        <w:t xml:space="preserve">These activities are mainly focused along six economic corridors, which cut </w:t>
      </w:r>
      <w:r w:rsidR="004A6DB7">
        <w:rPr>
          <w:szCs w:val="20"/>
        </w:rPr>
        <w:t xml:space="preserve">through more than </w:t>
      </w:r>
      <w:r w:rsidRPr="005724D0">
        <w:rPr>
          <w:szCs w:val="20"/>
        </w:rPr>
        <w:t>65 developing countries</w:t>
      </w:r>
      <w:r w:rsidR="004A6DB7">
        <w:rPr>
          <w:szCs w:val="20"/>
        </w:rPr>
        <w:t>,</w:t>
      </w:r>
      <w:r w:rsidRPr="005724D0">
        <w:rPr>
          <w:szCs w:val="20"/>
        </w:rPr>
        <w:t xml:space="preserve"> and </w:t>
      </w:r>
      <w:r w:rsidR="000B3F74">
        <w:rPr>
          <w:szCs w:val="20"/>
        </w:rPr>
        <w:t>are</w:t>
      </w:r>
      <w:r w:rsidRPr="005724D0">
        <w:rPr>
          <w:szCs w:val="20"/>
        </w:rPr>
        <w:t xml:space="preserve"> expected to be a catalyst for infrastructure development that will have an impact on a population of about 4.4 billion and one third of the global economy.</w:t>
      </w:r>
      <w:r w:rsidR="006846F1">
        <w:rPr>
          <w:szCs w:val="20"/>
        </w:rPr>
        <w:t xml:space="preserve"> </w:t>
      </w:r>
    </w:p>
    <w:p w14:paraId="0D672EBF" w14:textId="77777777" w:rsidR="00CF0369" w:rsidRDefault="00CF0369" w:rsidP="00831D8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A7907F7" w14:textId="3AD35B5A" w:rsidR="005724D0" w:rsidRPr="00C53D80" w:rsidRDefault="005724D0" w:rsidP="00831D85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C53D80">
        <w:rPr>
          <w:szCs w:val="20"/>
        </w:rPr>
        <w:t xml:space="preserve"> </w:t>
      </w:r>
      <w:r w:rsidR="003541CF">
        <w:rPr>
          <w:szCs w:val="20"/>
        </w:rPr>
        <w:t>‘</w:t>
      </w:r>
      <w:r w:rsidRPr="00C53D80">
        <w:rPr>
          <w:i/>
          <w:szCs w:val="20"/>
        </w:rPr>
        <w:t xml:space="preserve">Repaving the ancient Silk Routes’ </w:t>
      </w:r>
      <w:r w:rsidR="00D91DB4">
        <w:rPr>
          <w:szCs w:val="20"/>
        </w:rPr>
        <w:t xml:space="preserve">analyses how </w:t>
      </w:r>
      <w:r w:rsidRPr="00C53D80">
        <w:rPr>
          <w:szCs w:val="20"/>
        </w:rPr>
        <w:t>foreign companies can participate in B&amp;R projects</w:t>
      </w:r>
      <w:r w:rsidR="00FA24DB" w:rsidRPr="00C53D80">
        <w:rPr>
          <w:szCs w:val="20"/>
        </w:rPr>
        <w:t xml:space="preserve"> </w:t>
      </w:r>
      <w:r w:rsidR="000E39D9">
        <w:rPr>
          <w:szCs w:val="20"/>
        </w:rPr>
        <w:t xml:space="preserve">and provides </w:t>
      </w:r>
      <w:r w:rsidR="00E1070E">
        <w:rPr>
          <w:szCs w:val="20"/>
        </w:rPr>
        <w:t xml:space="preserve">a point of view </w:t>
      </w:r>
      <w:r w:rsidR="000E39D9">
        <w:rPr>
          <w:szCs w:val="20"/>
        </w:rPr>
        <w:t xml:space="preserve">on </w:t>
      </w:r>
      <w:r w:rsidR="00C53D80">
        <w:rPr>
          <w:szCs w:val="20"/>
        </w:rPr>
        <w:t>unique B&amp;R complexities</w:t>
      </w:r>
      <w:r w:rsidR="003541CF">
        <w:rPr>
          <w:szCs w:val="20"/>
        </w:rPr>
        <w:t xml:space="preserve">. It also </w:t>
      </w:r>
      <w:r w:rsidR="00E1070E">
        <w:rPr>
          <w:szCs w:val="20"/>
        </w:rPr>
        <w:t xml:space="preserve">highlights how interested companies can </w:t>
      </w:r>
      <w:r w:rsidR="00A764C7" w:rsidRPr="00C53D80">
        <w:rPr>
          <w:szCs w:val="20"/>
        </w:rPr>
        <w:t xml:space="preserve">evaluate </w:t>
      </w:r>
      <w:r w:rsidR="00FA24DB" w:rsidRPr="00C53D80">
        <w:rPr>
          <w:szCs w:val="20"/>
        </w:rPr>
        <w:t xml:space="preserve">and select </w:t>
      </w:r>
      <w:r w:rsidR="00C53D80" w:rsidRPr="00C53D80">
        <w:rPr>
          <w:szCs w:val="20"/>
        </w:rPr>
        <w:t xml:space="preserve">B&amp;R </w:t>
      </w:r>
      <w:r w:rsidR="00C53D80">
        <w:rPr>
          <w:szCs w:val="20"/>
        </w:rPr>
        <w:t xml:space="preserve">projects, in addition </w:t>
      </w:r>
      <w:r w:rsidR="000E39D9">
        <w:rPr>
          <w:szCs w:val="20"/>
        </w:rPr>
        <w:t xml:space="preserve">to identifying </w:t>
      </w:r>
      <w:r w:rsidR="00FA24DB" w:rsidRPr="00C53D80">
        <w:rPr>
          <w:szCs w:val="20"/>
        </w:rPr>
        <w:t xml:space="preserve">key factors for success. </w:t>
      </w:r>
    </w:p>
    <w:p w14:paraId="20335983" w14:textId="77777777" w:rsidR="005724D0" w:rsidRDefault="005724D0" w:rsidP="00831D8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6CFDB4B4" w14:textId="77777777" w:rsidR="00764981" w:rsidRPr="00764981" w:rsidRDefault="00764981" w:rsidP="00831D85">
      <w:pPr>
        <w:autoSpaceDE w:val="0"/>
        <w:autoSpaceDN w:val="0"/>
        <w:adjustRightInd w:val="0"/>
        <w:spacing w:line="240" w:lineRule="auto"/>
        <w:rPr>
          <w:b/>
          <w:szCs w:val="20"/>
        </w:rPr>
      </w:pPr>
      <w:r w:rsidRPr="00764981">
        <w:rPr>
          <w:b/>
          <w:szCs w:val="20"/>
        </w:rPr>
        <w:t xml:space="preserve">Need for </w:t>
      </w:r>
      <w:r w:rsidR="003B2A11">
        <w:rPr>
          <w:b/>
          <w:szCs w:val="20"/>
        </w:rPr>
        <w:t xml:space="preserve">foreign </w:t>
      </w:r>
      <w:r w:rsidRPr="00764981">
        <w:rPr>
          <w:b/>
          <w:szCs w:val="20"/>
        </w:rPr>
        <w:t>partnerships to fully realise B&amp;R objectives</w:t>
      </w:r>
    </w:p>
    <w:p w14:paraId="61F73B44" w14:textId="77777777" w:rsidR="00820F31" w:rsidRDefault="00820F31" w:rsidP="00820F31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5C0A4D7B" w14:textId="77777777" w:rsidR="00764981" w:rsidRDefault="00764981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>
        <w:rPr>
          <w:szCs w:val="20"/>
        </w:rPr>
        <w:t>The B&amp;R initiative is such a massive ambition that even China</w:t>
      </w:r>
      <w:r w:rsidR="00D91DB4">
        <w:rPr>
          <w:szCs w:val="20"/>
        </w:rPr>
        <w:t>,</w:t>
      </w:r>
      <w:r>
        <w:rPr>
          <w:szCs w:val="20"/>
        </w:rPr>
        <w:t xml:space="preserve"> with all its re</w:t>
      </w:r>
      <w:r w:rsidR="00942B71">
        <w:rPr>
          <w:szCs w:val="20"/>
        </w:rPr>
        <w:t>sources, people and financing</w:t>
      </w:r>
      <w:r w:rsidR="00D91DB4">
        <w:rPr>
          <w:szCs w:val="20"/>
        </w:rPr>
        <w:t>,</w:t>
      </w:r>
      <w:r w:rsidR="00942B71">
        <w:rPr>
          <w:szCs w:val="20"/>
        </w:rPr>
        <w:t xml:space="preserve"> </w:t>
      </w:r>
      <w:r>
        <w:rPr>
          <w:szCs w:val="20"/>
        </w:rPr>
        <w:t xml:space="preserve">has sought </w:t>
      </w:r>
      <w:r>
        <w:rPr>
          <w:rFonts w:cs="Arial"/>
          <w:color w:val="000000"/>
          <w:szCs w:val="20"/>
        </w:rPr>
        <w:t xml:space="preserve">partnerships with foreign companies. These partnerships can prove to be beneficial for both parties in many ways.  </w:t>
      </w:r>
    </w:p>
    <w:p w14:paraId="64A97B30" w14:textId="77777777" w:rsidR="00820F31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14:paraId="124B5DB3" w14:textId="59645486" w:rsidR="00CF0369" w:rsidRDefault="007920D4" w:rsidP="00820F31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color w:val="000000"/>
          <w:szCs w:val="20"/>
        </w:rPr>
        <w:t>Legitimately g</w:t>
      </w:r>
      <w:r w:rsidR="00764981">
        <w:rPr>
          <w:rFonts w:cs="Arial"/>
          <w:color w:val="000000"/>
          <w:szCs w:val="20"/>
        </w:rPr>
        <w:t xml:space="preserve">aining knowledge through foreign partnerships can help Chinese enterprises further develop expertise </w:t>
      </w:r>
      <w:r w:rsidR="00C93C21">
        <w:rPr>
          <w:rFonts w:cs="Arial"/>
          <w:color w:val="000000"/>
          <w:szCs w:val="20"/>
        </w:rPr>
        <w:t xml:space="preserve">while enhancing </w:t>
      </w:r>
      <w:r w:rsidR="00764981">
        <w:rPr>
          <w:rFonts w:cs="Arial"/>
          <w:color w:val="000000"/>
          <w:szCs w:val="20"/>
        </w:rPr>
        <w:t>global credibility in</w:t>
      </w:r>
      <w:r w:rsidR="00E1070E">
        <w:rPr>
          <w:rFonts w:cs="Arial"/>
          <w:color w:val="000000"/>
          <w:szCs w:val="20"/>
        </w:rPr>
        <w:t xml:space="preserve"> the infrastructure sector</w:t>
      </w:r>
      <w:r w:rsidR="000B3F74">
        <w:rPr>
          <w:rFonts w:cs="Arial"/>
          <w:color w:val="000000"/>
          <w:szCs w:val="20"/>
        </w:rPr>
        <w:t>.</w:t>
      </w:r>
      <w:r w:rsidR="00942B71">
        <w:rPr>
          <w:rFonts w:cs="Arial"/>
          <w:color w:val="000000"/>
          <w:szCs w:val="20"/>
        </w:rPr>
        <w:t xml:space="preserve"> </w:t>
      </w:r>
      <w:r w:rsidR="000B3F74">
        <w:rPr>
          <w:rFonts w:cs="Arial"/>
          <w:color w:val="000000"/>
          <w:szCs w:val="20"/>
        </w:rPr>
        <w:t>W</w:t>
      </w:r>
      <w:r w:rsidR="00942B71">
        <w:rPr>
          <w:rFonts w:cs="Arial"/>
          <w:color w:val="000000"/>
          <w:szCs w:val="20"/>
        </w:rPr>
        <w:t xml:space="preserve">hile </w:t>
      </w:r>
      <w:r w:rsidR="00E1070E">
        <w:rPr>
          <w:rFonts w:cs="Arial"/>
          <w:color w:val="000000"/>
          <w:szCs w:val="20"/>
        </w:rPr>
        <w:t xml:space="preserve">for </w:t>
      </w:r>
      <w:r w:rsidR="00764981">
        <w:rPr>
          <w:rFonts w:cs="Arial"/>
          <w:color w:val="000000"/>
          <w:szCs w:val="20"/>
        </w:rPr>
        <w:t xml:space="preserve">foreign companies, a collaboration with Chinese </w:t>
      </w:r>
      <w:r w:rsidR="00C93C21">
        <w:rPr>
          <w:rFonts w:cs="Arial"/>
          <w:color w:val="000000"/>
          <w:szCs w:val="20"/>
        </w:rPr>
        <w:t>enterprises</w:t>
      </w:r>
      <w:r w:rsidR="00E1070E">
        <w:rPr>
          <w:rFonts w:cs="Arial"/>
          <w:color w:val="000000"/>
          <w:szCs w:val="20"/>
        </w:rPr>
        <w:t xml:space="preserve"> on</w:t>
      </w:r>
      <w:r w:rsidR="00764981">
        <w:rPr>
          <w:rFonts w:cs="Arial"/>
          <w:color w:val="000000"/>
          <w:szCs w:val="20"/>
        </w:rPr>
        <w:t xml:space="preserve"> infrastructure project</w:t>
      </w:r>
      <w:r w:rsidR="00E1070E">
        <w:rPr>
          <w:rFonts w:cs="Arial"/>
          <w:color w:val="000000"/>
          <w:szCs w:val="20"/>
        </w:rPr>
        <w:t>s located in</w:t>
      </w:r>
      <w:r w:rsidR="00764981">
        <w:rPr>
          <w:rFonts w:cs="Arial"/>
          <w:color w:val="000000"/>
          <w:szCs w:val="20"/>
        </w:rPr>
        <w:t xml:space="preserve"> third party c</w:t>
      </w:r>
      <w:r w:rsidR="00E1070E">
        <w:rPr>
          <w:rFonts w:cs="Arial"/>
          <w:color w:val="000000"/>
          <w:szCs w:val="20"/>
        </w:rPr>
        <w:t xml:space="preserve">ountries can open up access to new </w:t>
      </w:r>
      <w:r w:rsidR="00764981">
        <w:rPr>
          <w:rFonts w:cs="Arial"/>
          <w:color w:val="000000"/>
          <w:szCs w:val="20"/>
        </w:rPr>
        <w:t>marke</w:t>
      </w:r>
      <w:r w:rsidR="00E1070E">
        <w:rPr>
          <w:rFonts w:cs="Arial"/>
          <w:color w:val="000000"/>
          <w:szCs w:val="20"/>
        </w:rPr>
        <w:t>ts</w:t>
      </w:r>
      <w:r>
        <w:rPr>
          <w:rFonts w:cs="Arial"/>
          <w:color w:val="000000"/>
          <w:szCs w:val="20"/>
        </w:rPr>
        <w:t xml:space="preserve"> and pave the way for access to the China market too.</w:t>
      </w:r>
      <w:r w:rsidR="00764981">
        <w:rPr>
          <w:rFonts w:cs="Arial"/>
          <w:color w:val="000000"/>
          <w:szCs w:val="20"/>
        </w:rPr>
        <w:t xml:space="preserve"> </w:t>
      </w:r>
      <w:r w:rsidR="003B2A11" w:rsidRPr="003B2A11">
        <w:rPr>
          <w:rFonts w:cs="Arial"/>
          <w:szCs w:val="20"/>
        </w:rPr>
        <w:t>Ma</w:t>
      </w:r>
      <w:r w:rsidR="003B2A11">
        <w:rPr>
          <w:rFonts w:cs="Arial"/>
          <w:szCs w:val="20"/>
        </w:rPr>
        <w:t xml:space="preserve">ny of these foreign companies also possess previous </w:t>
      </w:r>
      <w:r>
        <w:rPr>
          <w:rFonts w:cs="Arial"/>
          <w:szCs w:val="20"/>
        </w:rPr>
        <w:t xml:space="preserve">international </w:t>
      </w:r>
      <w:r w:rsidR="003B2A11">
        <w:rPr>
          <w:rFonts w:cs="Arial"/>
          <w:szCs w:val="20"/>
        </w:rPr>
        <w:t xml:space="preserve">experience in large scale projects in </w:t>
      </w:r>
      <w:r w:rsidR="00E1070E">
        <w:rPr>
          <w:rFonts w:cs="Arial"/>
          <w:szCs w:val="20"/>
        </w:rPr>
        <w:t xml:space="preserve">complex </w:t>
      </w:r>
      <w:r w:rsidR="003B2A11">
        <w:rPr>
          <w:rFonts w:cs="Arial"/>
          <w:szCs w:val="20"/>
        </w:rPr>
        <w:t>developing countries</w:t>
      </w:r>
      <w:r w:rsidR="00E1070E">
        <w:rPr>
          <w:rFonts w:cs="Arial"/>
          <w:szCs w:val="20"/>
        </w:rPr>
        <w:t xml:space="preserve">, which can be invaluable when trying to </w:t>
      </w:r>
      <w:r w:rsidR="000E39D9">
        <w:rPr>
          <w:rFonts w:cs="Arial"/>
          <w:szCs w:val="20"/>
        </w:rPr>
        <w:t>decrease operational risks.</w:t>
      </w:r>
    </w:p>
    <w:p w14:paraId="54E7D852" w14:textId="77777777" w:rsidR="00820F31" w:rsidRPr="00E1070E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F49F84D" w14:textId="77777777" w:rsidR="00820F31" w:rsidRDefault="00820F31">
      <w:pPr>
        <w:spacing w:line="240" w:lineRule="auto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br w:type="page"/>
      </w:r>
    </w:p>
    <w:p w14:paraId="705652B9" w14:textId="2E9117C7" w:rsidR="00764981" w:rsidRPr="00764981" w:rsidRDefault="00764981" w:rsidP="00820F31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0"/>
        </w:rPr>
      </w:pPr>
      <w:r w:rsidRPr="00764981">
        <w:rPr>
          <w:rFonts w:cs="Arial"/>
          <w:b/>
          <w:color w:val="000000"/>
          <w:szCs w:val="20"/>
        </w:rPr>
        <w:lastRenderedPageBreak/>
        <w:t>Unique B&amp;R considerations</w:t>
      </w:r>
    </w:p>
    <w:p w14:paraId="5D62B39B" w14:textId="77777777" w:rsidR="00820F31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14:paraId="3AB073FA" w14:textId="77777777" w:rsidR="00764981" w:rsidRDefault="00764981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While the opportunities are numerous, foreign companies </w:t>
      </w:r>
      <w:r w:rsidR="00A10AF4">
        <w:rPr>
          <w:rFonts w:cs="Arial"/>
          <w:color w:val="000000"/>
          <w:szCs w:val="20"/>
        </w:rPr>
        <w:t xml:space="preserve">can come across </w:t>
      </w:r>
      <w:r>
        <w:rPr>
          <w:rFonts w:cs="Arial"/>
          <w:color w:val="000000"/>
          <w:szCs w:val="20"/>
        </w:rPr>
        <w:t xml:space="preserve">some project risks </w:t>
      </w:r>
      <w:r w:rsidR="00E1070E">
        <w:rPr>
          <w:rFonts w:cs="Arial"/>
          <w:color w:val="000000"/>
          <w:szCs w:val="20"/>
        </w:rPr>
        <w:t xml:space="preserve">which are </w:t>
      </w:r>
      <w:r w:rsidR="00A10AF4">
        <w:rPr>
          <w:rFonts w:cs="Arial"/>
          <w:color w:val="000000"/>
          <w:szCs w:val="20"/>
        </w:rPr>
        <w:t xml:space="preserve">unique to </w:t>
      </w:r>
      <w:r>
        <w:rPr>
          <w:rFonts w:cs="Arial"/>
          <w:color w:val="000000"/>
          <w:szCs w:val="20"/>
        </w:rPr>
        <w:t>B&amp;R projects, particularly from a geopolitical, funding and operational perspective.</w:t>
      </w:r>
    </w:p>
    <w:p w14:paraId="1E5DFF89" w14:textId="77777777" w:rsidR="00F62520" w:rsidRDefault="00764981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 w:rsidRPr="000E39D9">
        <w:rPr>
          <w:rFonts w:cs="Arial"/>
          <w:b/>
          <w:i/>
          <w:color w:val="000000"/>
          <w:szCs w:val="20"/>
        </w:rPr>
        <w:t>Geopolitical risk</w:t>
      </w:r>
      <w:r w:rsidR="000E39D9">
        <w:rPr>
          <w:rFonts w:cs="Arial"/>
          <w:b/>
          <w:i/>
          <w:color w:val="000000"/>
          <w:szCs w:val="20"/>
        </w:rPr>
        <w:t xml:space="preserve">s: </w:t>
      </w:r>
      <w:r w:rsidR="007920D4">
        <w:rPr>
          <w:rFonts w:cs="Arial"/>
          <w:color w:val="000000"/>
          <w:szCs w:val="20"/>
        </w:rPr>
        <w:t>These</w:t>
      </w:r>
      <w:r>
        <w:rPr>
          <w:rFonts w:cs="Arial"/>
          <w:color w:val="000000"/>
          <w:szCs w:val="20"/>
        </w:rPr>
        <w:t xml:space="preserve"> often span across many territories, due to the exposure to changes in political regimes and bilateral relations. </w:t>
      </w:r>
    </w:p>
    <w:p w14:paraId="23C74EA2" w14:textId="77777777" w:rsidR="00820F31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14:paraId="1720E9B6" w14:textId="77777777" w:rsidR="00F62520" w:rsidRDefault="000E39D9" w:rsidP="00820F31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0"/>
        </w:rPr>
      </w:pPr>
      <w:r>
        <w:rPr>
          <w:rFonts w:cs="Arial"/>
          <w:b/>
          <w:i/>
          <w:color w:val="000000"/>
          <w:szCs w:val="20"/>
        </w:rPr>
        <w:t xml:space="preserve">Funding risks: </w:t>
      </w:r>
      <w:r>
        <w:rPr>
          <w:rFonts w:cs="Arial"/>
          <w:color w:val="000000"/>
          <w:szCs w:val="20"/>
        </w:rPr>
        <w:t>B</w:t>
      </w:r>
      <w:r w:rsidR="00F62520">
        <w:rPr>
          <w:rFonts w:cs="Arial"/>
          <w:bCs/>
          <w:color w:val="000000"/>
          <w:szCs w:val="20"/>
        </w:rPr>
        <w:t xml:space="preserve">esides </w:t>
      </w:r>
      <w:r w:rsidR="00764981">
        <w:rPr>
          <w:rFonts w:cs="Arial"/>
          <w:bCs/>
          <w:color w:val="000000"/>
          <w:szCs w:val="20"/>
        </w:rPr>
        <w:t xml:space="preserve">financing sources from China, companies also </w:t>
      </w:r>
      <w:r w:rsidR="00F62520">
        <w:rPr>
          <w:rFonts w:cs="Arial"/>
          <w:bCs/>
          <w:color w:val="000000"/>
          <w:szCs w:val="20"/>
        </w:rPr>
        <w:t xml:space="preserve">need to take </w:t>
      </w:r>
      <w:r w:rsidR="00764981">
        <w:rPr>
          <w:rFonts w:cs="Arial"/>
          <w:bCs/>
          <w:color w:val="000000"/>
          <w:szCs w:val="20"/>
        </w:rPr>
        <w:t xml:space="preserve">into consideration that many growth markets along the B&amp;R routes have a varied ability to pay back the loans they need. </w:t>
      </w:r>
    </w:p>
    <w:p w14:paraId="30205A38" w14:textId="77777777" w:rsidR="00820F31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0"/>
        </w:rPr>
      </w:pPr>
    </w:p>
    <w:p w14:paraId="64B2B4C5" w14:textId="77777777" w:rsidR="00764981" w:rsidRDefault="000E39D9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 w:rsidRPr="000E39D9">
        <w:rPr>
          <w:rFonts w:cs="Arial"/>
          <w:b/>
          <w:bCs/>
          <w:i/>
          <w:color w:val="000000"/>
          <w:szCs w:val="20"/>
        </w:rPr>
        <w:t>Operational risks:</w:t>
      </w:r>
      <w:r>
        <w:rPr>
          <w:rFonts w:cs="Arial"/>
          <w:bCs/>
          <w:color w:val="000000"/>
          <w:szCs w:val="20"/>
        </w:rPr>
        <w:t xml:space="preserve"> I</w:t>
      </w:r>
      <w:r w:rsidR="00764981">
        <w:rPr>
          <w:rFonts w:cs="Arial"/>
          <w:bCs/>
          <w:color w:val="000000"/>
          <w:szCs w:val="20"/>
        </w:rPr>
        <w:t xml:space="preserve">nterested companies ought to remain vigilant in operational planning, even as </w:t>
      </w:r>
      <w:r w:rsidR="00F62520">
        <w:rPr>
          <w:rFonts w:cs="Arial"/>
          <w:bCs/>
          <w:color w:val="000000"/>
          <w:szCs w:val="20"/>
        </w:rPr>
        <w:t>state-owned enterprises</w:t>
      </w:r>
      <w:r w:rsidR="00764981">
        <w:rPr>
          <w:rFonts w:cs="Arial"/>
          <w:bCs/>
          <w:color w:val="000000"/>
          <w:szCs w:val="20"/>
        </w:rPr>
        <w:t xml:space="preserve"> from both China and the host countries are starting to gain international experience. </w:t>
      </w:r>
      <w:r w:rsidR="00F62520">
        <w:rPr>
          <w:rFonts w:cs="Arial"/>
          <w:bCs/>
          <w:color w:val="000000"/>
          <w:szCs w:val="20"/>
        </w:rPr>
        <w:t xml:space="preserve">This </w:t>
      </w:r>
      <w:r w:rsidR="00764981">
        <w:rPr>
          <w:rFonts w:cs="Arial"/>
          <w:bCs/>
          <w:color w:val="000000"/>
          <w:szCs w:val="20"/>
        </w:rPr>
        <w:t>include</w:t>
      </w:r>
      <w:r w:rsidR="00F62520">
        <w:rPr>
          <w:rFonts w:cs="Arial"/>
          <w:bCs/>
          <w:color w:val="000000"/>
          <w:szCs w:val="20"/>
        </w:rPr>
        <w:t>s</w:t>
      </w:r>
      <w:r w:rsidR="00764981">
        <w:rPr>
          <w:rFonts w:cs="Arial"/>
          <w:bCs/>
          <w:color w:val="000000"/>
          <w:szCs w:val="20"/>
        </w:rPr>
        <w:t xml:space="preserve"> </w:t>
      </w:r>
      <w:r w:rsidR="003541CF">
        <w:rPr>
          <w:rFonts w:cs="Arial"/>
          <w:bCs/>
          <w:color w:val="000000"/>
          <w:szCs w:val="20"/>
        </w:rPr>
        <w:t xml:space="preserve">identifying </w:t>
      </w:r>
      <w:r w:rsidR="00764981">
        <w:rPr>
          <w:rFonts w:cs="Arial"/>
          <w:bCs/>
          <w:color w:val="000000"/>
          <w:szCs w:val="20"/>
        </w:rPr>
        <w:t xml:space="preserve">gaps in </w:t>
      </w:r>
      <w:r w:rsidR="00F62520">
        <w:rPr>
          <w:rFonts w:cs="Arial"/>
          <w:bCs/>
          <w:color w:val="000000"/>
          <w:szCs w:val="20"/>
        </w:rPr>
        <w:t>stakeholder experience</w:t>
      </w:r>
      <w:r w:rsidR="00764981">
        <w:rPr>
          <w:rFonts w:cs="Arial"/>
          <w:bCs/>
          <w:color w:val="000000"/>
          <w:szCs w:val="20"/>
        </w:rPr>
        <w:t xml:space="preserve"> and the increased complexity of B&amp;R transnational projects </w:t>
      </w:r>
      <w:r w:rsidR="003541CF">
        <w:rPr>
          <w:rFonts w:cs="Arial"/>
          <w:bCs/>
          <w:color w:val="000000"/>
          <w:szCs w:val="20"/>
        </w:rPr>
        <w:t xml:space="preserve">– both of </w:t>
      </w:r>
      <w:r w:rsidR="00764981">
        <w:rPr>
          <w:rFonts w:cs="Arial"/>
          <w:bCs/>
          <w:color w:val="000000"/>
          <w:szCs w:val="20"/>
        </w:rPr>
        <w:t xml:space="preserve">which </w:t>
      </w:r>
      <w:r w:rsidR="00F62520">
        <w:rPr>
          <w:rFonts w:cs="Arial"/>
          <w:bCs/>
          <w:color w:val="000000"/>
          <w:szCs w:val="20"/>
        </w:rPr>
        <w:t xml:space="preserve">could </w:t>
      </w:r>
      <w:r w:rsidR="00764981">
        <w:rPr>
          <w:rFonts w:cs="Arial"/>
          <w:bCs/>
          <w:color w:val="000000"/>
          <w:szCs w:val="20"/>
        </w:rPr>
        <w:t xml:space="preserve">result in delays or costs overruns. </w:t>
      </w:r>
      <w:r w:rsidR="003541CF">
        <w:rPr>
          <w:rFonts w:cs="Arial"/>
          <w:color w:val="000000"/>
          <w:szCs w:val="20"/>
        </w:rPr>
        <w:t xml:space="preserve">Although the </w:t>
      </w:r>
      <w:r w:rsidR="00764981">
        <w:rPr>
          <w:rFonts w:cs="Arial"/>
          <w:color w:val="000000"/>
          <w:szCs w:val="20"/>
        </w:rPr>
        <w:t>B&amp;R initiative holds rich promise, the risks are sometimes accentuated and unique.</w:t>
      </w:r>
    </w:p>
    <w:p w14:paraId="42D05FC0" w14:textId="77777777" w:rsidR="00820F31" w:rsidRPr="00F62520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0"/>
        </w:rPr>
      </w:pPr>
    </w:p>
    <w:p w14:paraId="36CDD89C" w14:textId="77777777" w:rsidR="00764981" w:rsidRDefault="00764981" w:rsidP="00820F31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0"/>
        </w:rPr>
      </w:pPr>
      <w:r w:rsidRPr="00764981">
        <w:rPr>
          <w:rFonts w:cs="Arial"/>
          <w:b/>
          <w:color w:val="000000"/>
          <w:szCs w:val="20"/>
        </w:rPr>
        <w:t>Strategies to evaluate and select projects</w:t>
      </w:r>
    </w:p>
    <w:p w14:paraId="4EF6230A" w14:textId="77777777" w:rsidR="00820F31" w:rsidRPr="00764981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</w:rPr>
      </w:pPr>
    </w:p>
    <w:p w14:paraId="11FBB9DB" w14:textId="77777777" w:rsidR="00764981" w:rsidRDefault="00764981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In addition to </w:t>
      </w:r>
      <w:r w:rsidR="00BC1346">
        <w:rPr>
          <w:rFonts w:cs="Arial"/>
          <w:color w:val="000000"/>
          <w:szCs w:val="20"/>
        </w:rPr>
        <w:t>evaluating B&amp;R-</w:t>
      </w:r>
      <w:r>
        <w:rPr>
          <w:rFonts w:cs="Arial"/>
          <w:color w:val="000000"/>
          <w:szCs w:val="20"/>
        </w:rPr>
        <w:t xml:space="preserve">specific project risks, potential investors should make a strategic </w:t>
      </w:r>
      <w:r w:rsidR="003541CF">
        <w:rPr>
          <w:rFonts w:cs="Arial"/>
          <w:color w:val="000000"/>
          <w:szCs w:val="20"/>
        </w:rPr>
        <w:t xml:space="preserve">decision </w:t>
      </w:r>
      <w:r>
        <w:rPr>
          <w:rFonts w:cs="Arial"/>
          <w:color w:val="000000"/>
          <w:szCs w:val="20"/>
        </w:rPr>
        <w:t xml:space="preserve">as to which B&amp;R projects to be involved in. This can be achieved </w:t>
      </w:r>
      <w:r w:rsidR="00BC1346">
        <w:rPr>
          <w:rFonts w:cs="Arial"/>
          <w:color w:val="000000"/>
          <w:szCs w:val="20"/>
        </w:rPr>
        <w:t>in three ways:</w:t>
      </w:r>
    </w:p>
    <w:p w14:paraId="53AB0BC0" w14:textId="77777777" w:rsidR="00820F31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14:paraId="2A6BF600" w14:textId="77777777" w:rsidR="00820F31" w:rsidRDefault="00831D85" w:rsidP="00820F31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0"/>
        </w:rPr>
      </w:pPr>
      <w:r>
        <w:rPr>
          <w:b/>
          <w:i/>
          <w:color w:val="000000" w:themeColor="text1"/>
          <w:szCs w:val="20"/>
        </w:rPr>
        <w:t>Commercial viability assessment:</w:t>
      </w:r>
      <w:r>
        <w:rPr>
          <w:i/>
          <w:color w:val="000000" w:themeColor="text1"/>
          <w:szCs w:val="20"/>
        </w:rPr>
        <w:t xml:space="preserve"> </w:t>
      </w:r>
      <w:r>
        <w:rPr>
          <w:rFonts w:cs="Arial"/>
          <w:bCs/>
          <w:color w:val="000000"/>
          <w:szCs w:val="20"/>
        </w:rPr>
        <w:t>Companies ought to develop a robust business case,</w:t>
      </w:r>
      <w:r w:rsidR="004D165F">
        <w:rPr>
          <w:rFonts w:cs="Arial"/>
          <w:bCs/>
          <w:color w:val="000000"/>
          <w:szCs w:val="20"/>
        </w:rPr>
        <w:t xml:space="preserve"> which </w:t>
      </w:r>
      <w:r>
        <w:rPr>
          <w:rFonts w:cs="Arial"/>
          <w:bCs/>
          <w:color w:val="000000"/>
          <w:szCs w:val="20"/>
        </w:rPr>
        <w:t xml:space="preserve">should </w:t>
      </w:r>
      <w:r w:rsidR="004D165F">
        <w:rPr>
          <w:rFonts w:cs="Arial"/>
          <w:bCs/>
          <w:color w:val="000000"/>
          <w:szCs w:val="20"/>
        </w:rPr>
        <w:t xml:space="preserve">address market supply and demand forces, and also </w:t>
      </w:r>
      <w:r>
        <w:rPr>
          <w:rFonts w:cs="Arial"/>
          <w:bCs/>
          <w:color w:val="000000"/>
          <w:szCs w:val="20"/>
        </w:rPr>
        <w:t>to what extent companies are reliant on incentives provided.</w:t>
      </w:r>
    </w:p>
    <w:p w14:paraId="61598857" w14:textId="77777777" w:rsidR="00820F31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0"/>
        </w:rPr>
      </w:pPr>
    </w:p>
    <w:p w14:paraId="0115D098" w14:textId="0AC9233D" w:rsidR="00831D85" w:rsidRDefault="00831D85" w:rsidP="00820F31">
      <w:pPr>
        <w:autoSpaceDE w:val="0"/>
        <w:autoSpaceDN w:val="0"/>
        <w:adjustRightInd w:val="0"/>
        <w:spacing w:line="240" w:lineRule="auto"/>
        <w:rPr>
          <w:rFonts w:cs="Arial"/>
          <w:bCs/>
          <w:szCs w:val="20"/>
        </w:rPr>
      </w:pPr>
      <w:r>
        <w:rPr>
          <w:b/>
          <w:i/>
          <w:color w:val="000000" w:themeColor="text1"/>
          <w:szCs w:val="20"/>
        </w:rPr>
        <w:t xml:space="preserve">Review </w:t>
      </w:r>
      <w:r w:rsidR="008114EA">
        <w:rPr>
          <w:b/>
          <w:i/>
          <w:color w:val="000000" w:themeColor="text1"/>
          <w:szCs w:val="20"/>
        </w:rPr>
        <w:t xml:space="preserve">the </w:t>
      </w:r>
      <w:r>
        <w:rPr>
          <w:b/>
          <w:i/>
          <w:color w:val="000000" w:themeColor="text1"/>
          <w:szCs w:val="20"/>
        </w:rPr>
        <w:t>maturity of the infrastructure ecosystem:</w:t>
      </w:r>
      <w:r>
        <w:rPr>
          <w:i/>
          <w:color w:val="C00000"/>
          <w:szCs w:val="20"/>
        </w:rPr>
        <w:t xml:space="preserve"> </w:t>
      </w:r>
      <w:r w:rsidR="004A3C39">
        <w:rPr>
          <w:rFonts w:cs="Arial"/>
          <w:bCs/>
          <w:color w:val="000000"/>
          <w:szCs w:val="20"/>
        </w:rPr>
        <w:t>Companies</w:t>
      </w:r>
      <w:r>
        <w:rPr>
          <w:rFonts w:cs="Arial"/>
          <w:bCs/>
          <w:color w:val="000000"/>
          <w:szCs w:val="20"/>
        </w:rPr>
        <w:t xml:space="preserve"> also need to evaluate the maturity and future plans of the surrounding infrastructure. This includes whether there is a strong strategic partnership for policy development, multi-modal linkages and supporting facilities</w:t>
      </w:r>
      <w:r w:rsidRPr="00820F31">
        <w:rPr>
          <w:rFonts w:cs="Arial"/>
          <w:bCs/>
          <w:szCs w:val="20"/>
        </w:rPr>
        <w:t xml:space="preserve">. </w:t>
      </w:r>
    </w:p>
    <w:p w14:paraId="63EEABC6" w14:textId="77777777" w:rsidR="00820F31" w:rsidRPr="00820F31" w:rsidRDefault="00820F31" w:rsidP="00820F31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3CEFF604" w14:textId="77777777" w:rsidR="00831D85" w:rsidRDefault="00831D85" w:rsidP="00820F31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0"/>
        </w:rPr>
      </w:pPr>
      <w:r>
        <w:rPr>
          <w:b/>
          <w:i/>
          <w:color w:val="000000" w:themeColor="text1"/>
          <w:szCs w:val="20"/>
        </w:rPr>
        <w:t xml:space="preserve">Establish a portfolio fit: </w:t>
      </w:r>
      <w:r w:rsidR="004A3C39">
        <w:rPr>
          <w:rFonts w:cs="Arial"/>
          <w:bCs/>
          <w:color w:val="000000"/>
          <w:szCs w:val="20"/>
        </w:rPr>
        <w:t>Companies</w:t>
      </w:r>
      <w:r>
        <w:rPr>
          <w:rFonts w:cs="Arial"/>
          <w:bCs/>
          <w:color w:val="000000"/>
          <w:szCs w:val="20"/>
        </w:rPr>
        <w:t xml:space="preserve"> also need to balance the valuation of their experience against the exposure </w:t>
      </w:r>
      <w:r w:rsidR="004A3C39">
        <w:rPr>
          <w:rFonts w:cs="Arial"/>
          <w:bCs/>
          <w:color w:val="000000"/>
          <w:szCs w:val="20"/>
        </w:rPr>
        <w:t xml:space="preserve">of </w:t>
      </w:r>
      <w:r>
        <w:rPr>
          <w:rFonts w:cs="Arial"/>
          <w:bCs/>
          <w:color w:val="000000"/>
          <w:szCs w:val="20"/>
        </w:rPr>
        <w:t>too much of the same risk in the company’s internal portfolio. For example, a company that already has a pro</w:t>
      </w:r>
      <w:r w:rsidR="004A3C39">
        <w:rPr>
          <w:rFonts w:cs="Arial"/>
          <w:bCs/>
          <w:color w:val="000000"/>
          <w:szCs w:val="20"/>
        </w:rPr>
        <w:t>ject in operation in Kazakhstan</w:t>
      </w:r>
      <w:r>
        <w:rPr>
          <w:rFonts w:cs="Arial"/>
          <w:bCs/>
          <w:color w:val="000000"/>
          <w:szCs w:val="20"/>
        </w:rPr>
        <w:t xml:space="preserve"> might re-valuate whether it makes sense to add another at this time</w:t>
      </w:r>
      <w:r w:rsidRPr="00820F31">
        <w:rPr>
          <w:rFonts w:cs="Arial"/>
          <w:bCs/>
          <w:color w:val="000000"/>
          <w:szCs w:val="20"/>
        </w:rPr>
        <w:t xml:space="preserve">. </w:t>
      </w:r>
    </w:p>
    <w:p w14:paraId="5640C1C4" w14:textId="77777777" w:rsidR="00820F31" w:rsidRPr="00820F31" w:rsidRDefault="00820F31" w:rsidP="00820F31">
      <w:pPr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</w:p>
    <w:p w14:paraId="5CBDC408" w14:textId="77777777" w:rsidR="00831D85" w:rsidRDefault="00831D85" w:rsidP="00820F3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</w:rPr>
      </w:pPr>
      <w:r w:rsidRPr="00831D85">
        <w:rPr>
          <w:rFonts w:cs="Arial"/>
          <w:b/>
          <w:color w:val="000000"/>
          <w:szCs w:val="20"/>
        </w:rPr>
        <w:t>Positioning for success</w:t>
      </w:r>
    </w:p>
    <w:p w14:paraId="44A8703C" w14:textId="77777777" w:rsidR="00820F31" w:rsidRPr="00831D85" w:rsidRDefault="00820F31" w:rsidP="00820F3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</w:rPr>
      </w:pPr>
    </w:p>
    <w:p w14:paraId="77163E45" w14:textId="77777777" w:rsidR="00764981" w:rsidRDefault="00831D85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 w:rsidRPr="00831D85">
        <w:rPr>
          <w:rFonts w:cs="Arial"/>
          <w:color w:val="000000"/>
          <w:szCs w:val="20"/>
        </w:rPr>
        <w:t xml:space="preserve">Having identified which projects to be involved </w:t>
      </w:r>
      <w:r w:rsidR="007217A2">
        <w:rPr>
          <w:rFonts w:cs="Arial"/>
          <w:color w:val="000000"/>
          <w:szCs w:val="20"/>
        </w:rPr>
        <w:t xml:space="preserve">with, </w:t>
      </w:r>
      <w:r w:rsidRPr="00831D85">
        <w:rPr>
          <w:rFonts w:cs="Arial"/>
          <w:color w:val="000000"/>
          <w:szCs w:val="20"/>
        </w:rPr>
        <w:t xml:space="preserve">and </w:t>
      </w:r>
      <w:r w:rsidR="004D165F">
        <w:rPr>
          <w:rFonts w:cs="Arial"/>
          <w:color w:val="000000"/>
          <w:szCs w:val="20"/>
        </w:rPr>
        <w:t xml:space="preserve">after evaluating the </w:t>
      </w:r>
      <w:r w:rsidRPr="00831D85">
        <w:rPr>
          <w:rFonts w:cs="Arial"/>
          <w:color w:val="000000"/>
          <w:szCs w:val="20"/>
        </w:rPr>
        <w:t>risk</w:t>
      </w:r>
      <w:r w:rsidR="004D165F">
        <w:rPr>
          <w:rFonts w:cs="Arial"/>
          <w:color w:val="000000"/>
          <w:szCs w:val="20"/>
        </w:rPr>
        <w:t>s</w:t>
      </w:r>
      <w:r w:rsidRPr="00831D85">
        <w:rPr>
          <w:rFonts w:cs="Arial"/>
          <w:color w:val="000000"/>
          <w:szCs w:val="20"/>
        </w:rPr>
        <w:t>, companies can enhance their chances of succes</w:t>
      </w:r>
      <w:r w:rsidR="007217A2">
        <w:rPr>
          <w:rFonts w:cs="Arial"/>
          <w:color w:val="000000"/>
          <w:szCs w:val="20"/>
        </w:rPr>
        <w:t xml:space="preserve">s by taking </w:t>
      </w:r>
      <w:r w:rsidR="00FE31FD">
        <w:rPr>
          <w:rFonts w:cs="Arial"/>
          <w:color w:val="000000"/>
          <w:szCs w:val="20"/>
        </w:rPr>
        <w:t xml:space="preserve">these </w:t>
      </w:r>
      <w:r w:rsidR="007217A2">
        <w:rPr>
          <w:rFonts w:cs="Arial"/>
          <w:color w:val="000000"/>
          <w:szCs w:val="20"/>
        </w:rPr>
        <w:t>critical steps:</w:t>
      </w:r>
    </w:p>
    <w:p w14:paraId="0D565931" w14:textId="77777777" w:rsidR="00820F31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14:paraId="2B5FD554" w14:textId="77777777" w:rsidR="00831D85" w:rsidRDefault="00831D85" w:rsidP="00820F31">
      <w:pPr>
        <w:autoSpaceDE w:val="0"/>
        <w:autoSpaceDN w:val="0"/>
        <w:adjustRightInd w:val="0"/>
        <w:spacing w:line="240" w:lineRule="auto"/>
        <w:rPr>
          <w:rFonts w:cs="Arial"/>
          <w:bCs/>
          <w:szCs w:val="20"/>
        </w:rPr>
      </w:pPr>
      <w:r>
        <w:rPr>
          <w:b/>
          <w:i/>
          <w:color w:val="000000" w:themeColor="text1"/>
          <w:szCs w:val="20"/>
        </w:rPr>
        <w:t>Contingency strategies:</w:t>
      </w:r>
      <w:r>
        <w:rPr>
          <w:i/>
          <w:color w:val="000000" w:themeColor="text1"/>
          <w:szCs w:val="20"/>
        </w:rPr>
        <w:t xml:space="preserve"> </w:t>
      </w:r>
      <w:r w:rsidR="00FE31FD">
        <w:rPr>
          <w:rFonts w:cs="Arial"/>
          <w:bCs/>
          <w:color w:val="000000"/>
          <w:szCs w:val="20"/>
        </w:rPr>
        <w:t>For</w:t>
      </w:r>
      <w:r>
        <w:rPr>
          <w:rFonts w:cs="Arial"/>
          <w:bCs/>
          <w:color w:val="000000"/>
          <w:szCs w:val="20"/>
        </w:rPr>
        <w:t xml:space="preserve"> B&amp;R projects which typically attract geopolitical attention and straddle multiple territori</w:t>
      </w:r>
      <w:r w:rsidR="00FE31FD">
        <w:rPr>
          <w:rFonts w:cs="Arial"/>
          <w:bCs/>
          <w:color w:val="000000"/>
          <w:szCs w:val="20"/>
        </w:rPr>
        <w:t>es across a long period of time –</w:t>
      </w:r>
      <w:r>
        <w:rPr>
          <w:rFonts w:cs="Arial"/>
          <w:bCs/>
          <w:color w:val="000000"/>
          <w:szCs w:val="20"/>
        </w:rPr>
        <w:t xml:space="preserve"> it is critical for companies to plan for disruptions in advance. In the course of contract negotiations, any potential unresolved issues should be accounted for in contingency </w:t>
      </w:r>
      <w:r>
        <w:rPr>
          <w:rFonts w:cs="Arial"/>
          <w:bCs/>
          <w:szCs w:val="20"/>
        </w:rPr>
        <w:t xml:space="preserve">clauses </w:t>
      </w:r>
      <w:r w:rsidR="00D267BE">
        <w:rPr>
          <w:rFonts w:cs="Arial"/>
          <w:bCs/>
          <w:szCs w:val="20"/>
        </w:rPr>
        <w:t xml:space="preserve">with </w:t>
      </w:r>
      <w:r>
        <w:rPr>
          <w:rFonts w:cs="Arial"/>
          <w:bCs/>
          <w:szCs w:val="20"/>
        </w:rPr>
        <w:t xml:space="preserve">a clear exit strategy laid out at the outset. </w:t>
      </w:r>
    </w:p>
    <w:p w14:paraId="0CE699EC" w14:textId="77777777" w:rsidR="00820F31" w:rsidRPr="00FE31FD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0"/>
        </w:rPr>
      </w:pPr>
    </w:p>
    <w:p w14:paraId="1687BF86" w14:textId="77777777" w:rsidR="00831D85" w:rsidRPr="00820F31" w:rsidRDefault="00831D85" w:rsidP="00820F31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b/>
          <w:i/>
          <w:color w:val="000000" w:themeColor="text1"/>
          <w:szCs w:val="20"/>
        </w:rPr>
        <w:t>Alignment with local governments:</w:t>
      </w:r>
      <w:r>
        <w:rPr>
          <w:i/>
          <w:color w:val="000000" w:themeColor="text1"/>
          <w:szCs w:val="20"/>
        </w:rPr>
        <w:t xml:space="preserve"> </w:t>
      </w:r>
      <w:r>
        <w:rPr>
          <w:rFonts w:cs="Arial"/>
          <w:bCs/>
          <w:color w:val="000000"/>
          <w:szCs w:val="20"/>
        </w:rPr>
        <w:t xml:space="preserve">It is also important to build strong and respected relationships with local authorities, because government influence is widened in many B&amp;R countries, where infrastructure development is critical and regulatory systems are still developing. </w:t>
      </w:r>
    </w:p>
    <w:p w14:paraId="05ABAA56" w14:textId="77777777" w:rsidR="00820F31" w:rsidRDefault="00820F31" w:rsidP="00820F31">
      <w:pPr>
        <w:autoSpaceDE w:val="0"/>
        <w:autoSpaceDN w:val="0"/>
        <w:adjustRightInd w:val="0"/>
        <w:spacing w:line="240" w:lineRule="auto"/>
        <w:rPr>
          <w:b/>
          <w:i/>
          <w:color w:val="000000" w:themeColor="text1"/>
          <w:szCs w:val="20"/>
        </w:rPr>
      </w:pPr>
    </w:p>
    <w:p w14:paraId="70CB4082" w14:textId="77777777" w:rsidR="00831D85" w:rsidRDefault="00831D85" w:rsidP="00820F31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0"/>
        </w:rPr>
      </w:pPr>
      <w:r>
        <w:rPr>
          <w:b/>
          <w:i/>
          <w:color w:val="000000" w:themeColor="text1"/>
          <w:szCs w:val="20"/>
        </w:rPr>
        <w:t>Trusted local partnerships:</w:t>
      </w:r>
      <w:r>
        <w:rPr>
          <w:i/>
          <w:color w:val="C00000"/>
          <w:szCs w:val="20"/>
        </w:rPr>
        <w:t xml:space="preserve"> </w:t>
      </w:r>
      <w:r>
        <w:rPr>
          <w:rFonts w:cs="Arial"/>
          <w:bCs/>
          <w:szCs w:val="20"/>
        </w:rPr>
        <w:t xml:space="preserve">Partnerships with companies having prior experience of working with the local government are critical in B&amp;R projects. The right partners </w:t>
      </w:r>
      <w:r>
        <w:rPr>
          <w:rFonts w:cs="Arial"/>
          <w:bCs/>
          <w:color w:val="000000"/>
          <w:szCs w:val="20"/>
        </w:rPr>
        <w:t xml:space="preserve">will understand the sequence of events, unspoken sensitivities and key actors in the process to facilitate project progress. This is important in many growth markets which B&amp;R projects operate in, where companies need to deal with the fluidity of business. </w:t>
      </w:r>
    </w:p>
    <w:p w14:paraId="25B2502E" w14:textId="77777777" w:rsidR="00820F31" w:rsidRPr="00820F31" w:rsidRDefault="00820F31" w:rsidP="00820F31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4BAAB42" w14:textId="77777777" w:rsidR="00820F31" w:rsidRDefault="00831D85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>
        <w:rPr>
          <w:b/>
          <w:i/>
          <w:color w:val="000000" w:themeColor="text1"/>
          <w:szCs w:val="20"/>
        </w:rPr>
        <w:lastRenderedPageBreak/>
        <w:t>Risk sharing:</w:t>
      </w:r>
      <w:r>
        <w:rPr>
          <w:i/>
          <w:color w:val="000000" w:themeColor="text1"/>
          <w:szCs w:val="20"/>
        </w:rPr>
        <w:t xml:space="preserve"> </w:t>
      </w:r>
      <w:r>
        <w:rPr>
          <w:rFonts w:cs="Arial"/>
          <w:color w:val="000000"/>
          <w:szCs w:val="20"/>
        </w:rPr>
        <w:t>Adopting a risk-sharing approach will build trust amongst stakeholders, ultimately lowering cost for all stakeholders. Companies can consider ways to share risk, such as waiving the need for performance bond</w:t>
      </w:r>
      <w:r w:rsidR="00FE31FD">
        <w:rPr>
          <w:rFonts w:cs="Arial"/>
          <w:color w:val="000000"/>
          <w:szCs w:val="20"/>
        </w:rPr>
        <w:t>s</w:t>
      </w:r>
      <w:r>
        <w:rPr>
          <w:rFonts w:cs="Arial"/>
          <w:color w:val="000000"/>
          <w:szCs w:val="20"/>
        </w:rPr>
        <w:t>, carry</w:t>
      </w:r>
      <w:r w:rsidR="00FE31FD">
        <w:rPr>
          <w:rFonts w:cs="Arial"/>
          <w:color w:val="000000"/>
          <w:szCs w:val="20"/>
        </w:rPr>
        <w:t>ing the cost of some equipment i</w:t>
      </w:r>
      <w:r>
        <w:rPr>
          <w:rFonts w:cs="Arial"/>
          <w:color w:val="000000"/>
          <w:szCs w:val="20"/>
        </w:rPr>
        <w:t>n their books</w:t>
      </w:r>
      <w:r w:rsidR="00FE31FD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or developing a revenue-sharing mechanism. </w:t>
      </w:r>
    </w:p>
    <w:p w14:paraId="2371DA32" w14:textId="2FA50014" w:rsidR="0084473F" w:rsidRDefault="0084473F" w:rsidP="00820F31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61CC7D0A" w14:textId="77777777" w:rsidR="00351C2A" w:rsidRPr="00850F9A" w:rsidRDefault="00351C2A" w:rsidP="00820F31">
      <w:pPr>
        <w:autoSpaceDE w:val="0"/>
        <w:autoSpaceDN w:val="0"/>
        <w:adjustRightInd w:val="0"/>
        <w:spacing w:line="240" w:lineRule="auto"/>
        <w:rPr>
          <w:rFonts w:cs="CharterITCStd-Regular"/>
          <w:szCs w:val="20"/>
        </w:rPr>
      </w:pPr>
      <w:r w:rsidRPr="00850F9A">
        <w:rPr>
          <w:szCs w:val="20"/>
        </w:rPr>
        <w:t>David Wijeratne, PwC’s Growth Markets Centre Leader, says:</w:t>
      </w:r>
    </w:p>
    <w:p w14:paraId="7CE5D068" w14:textId="77777777" w:rsidR="00351C2A" w:rsidRPr="00850F9A" w:rsidRDefault="00351C2A" w:rsidP="00820F31">
      <w:pPr>
        <w:autoSpaceDE w:val="0"/>
        <w:autoSpaceDN w:val="0"/>
        <w:adjustRightInd w:val="0"/>
        <w:spacing w:line="240" w:lineRule="auto"/>
        <w:rPr>
          <w:rFonts w:cs="CharterITCStd-Regular"/>
          <w:szCs w:val="20"/>
        </w:rPr>
      </w:pPr>
    </w:p>
    <w:p w14:paraId="17791594" w14:textId="77777777" w:rsidR="00D267BE" w:rsidRDefault="00351C2A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 w:rsidRPr="00850F9A">
        <w:rPr>
          <w:rFonts w:cs="CharterITCStd-Regular"/>
          <w:color w:val="000000" w:themeColor="text1"/>
          <w:szCs w:val="20"/>
        </w:rPr>
        <w:t>“</w:t>
      </w:r>
      <w:r w:rsidR="00831D85">
        <w:rPr>
          <w:rFonts w:cs="Arial"/>
          <w:color w:val="000000"/>
          <w:szCs w:val="20"/>
        </w:rPr>
        <w:t xml:space="preserve">The B&amp;R initiative </w:t>
      </w:r>
      <w:r w:rsidR="00E65E98">
        <w:rPr>
          <w:rFonts w:cs="Arial"/>
          <w:color w:val="000000"/>
          <w:szCs w:val="20"/>
        </w:rPr>
        <w:t>has</w:t>
      </w:r>
      <w:r w:rsidR="00831D85">
        <w:rPr>
          <w:rFonts w:cs="Arial"/>
          <w:color w:val="000000"/>
          <w:szCs w:val="20"/>
        </w:rPr>
        <w:t xml:space="preserve"> already </w:t>
      </w:r>
      <w:r w:rsidR="00E65E98">
        <w:rPr>
          <w:rFonts w:cs="Arial"/>
          <w:color w:val="000000"/>
          <w:szCs w:val="20"/>
        </w:rPr>
        <w:t>s</w:t>
      </w:r>
      <w:r w:rsidR="00831D85">
        <w:rPr>
          <w:rFonts w:cs="Arial"/>
          <w:color w:val="000000"/>
          <w:szCs w:val="20"/>
        </w:rPr>
        <w:t xml:space="preserve">een many success </w:t>
      </w:r>
      <w:r w:rsidR="007920D4">
        <w:rPr>
          <w:rFonts w:cs="Arial"/>
          <w:color w:val="000000"/>
          <w:szCs w:val="20"/>
        </w:rPr>
        <w:t>stories of partnerships that have</w:t>
      </w:r>
      <w:r w:rsidR="00831D85">
        <w:rPr>
          <w:rFonts w:cs="Arial"/>
          <w:color w:val="000000"/>
          <w:szCs w:val="20"/>
        </w:rPr>
        <w:t xml:space="preserve"> resulted in mutual benefits, leading to </w:t>
      </w:r>
      <w:r w:rsidR="00FE31FD">
        <w:rPr>
          <w:rFonts w:cs="Arial"/>
          <w:color w:val="000000"/>
          <w:szCs w:val="20"/>
        </w:rPr>
        <w:t xml:space="preserve">an increase in </w:t>
      </w:r>
      <w:r w:rsidR="00831D85">
        <w:rPr>
          <w:rFonts w:cs="Arial"/>
          <w:color w:val="000000"/>
          <w:szCs w:val="20"/>
        </w:rPr>
        <w:t>demand for foreign capabilities and contributions to B&amp;R projects, which reaffirms that there are commercial opportunities across the infrastructure value chain.</w:t>
      </w:r>
      <w:r w:rsidR="00E65E98">
        <w:rPr>
          <w:rFonts w:cs="Arial"/>
          <w:color w:val="000000"/>
          <w:szCs w:val="20"/>
        </w:rPr>
        <w:t xml:space="preserve"> </w:t>
      </w:r>
    </w:p>
    <w:p w14:paraId="082FCD78" w14:textId="77777777" w:rsidR="00820F31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14:paraId="1B3D828B" w14:textId="77777777" w:rsidR="008F606D" w:rsidRDefault="008F606D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831D85">
        <w:rPr>
          <w:rFonts w:cs="Arial"/>
          <w:color w:val="000000"/>
          <w:szCs w:val="20"/>
        </w:rPr>
        <w:t>However</w:t>
      </w:r>
      <w:r w:rsidR="00D267BE">
        <w:rPr>
          <w:rFonts w:cs="Arial"/>
          <w:color w:val="000000"/>
          <w:szCs w:val="20"/>
        </w:rPr>
        <w:t>,</w:t>
      </w:r>
      <w:r w:rsidR="00831D85">
        <w:rPr>
          <w:rFonts w:cs="Arial"/>
          <w:color w:val="000000"/>
          <w:szCs w:val="20"/>
        </w:rPr>
        <w:t xml:space="preserve"> companies need to fully understand the potential risks of infrastructure projects</w:t>
      </w:r>
      <w:r w:rsidR="00D267BE">
        <w:rPr>
          <w:rFonts w:cs="Arial"/>
          <w:color w:val="000000"/>
          <w:szCs w:val="20"/>
        </w:rPr>
        <w:t>,</w:t>
      </w:r>
      <w:r w:rsidR="00831D85">
        <w:rPr>
          <w:rFonts w:cs="Arial"/>
          <w:color w:val="000000"/>
          <w:szCs w:val="20"/>
        </w:rPr>
        <w:t xml:space="preserve"> especially those unique to B&amp;R in order to prepare for success. Acknowledging that B&amp;R projects are different, companies can enhance their chances of success by taking proactive actions</w:t>
      </w:r>
      <w:r w:rsidR="00D267BE">
        <w:rPr>
          <w:rFonts w:cs="Arial"/>
          <w:color w:val="000000"/>
          <w:szCs w:val="20"/>
        </w:rPr>
        <w:t>. This includes</w:t>
      </w:r>
      <w:r w:rsidR="00831D85">
        <w:rPr>
          <w:rFonts w:cs="Arial"/>
          <w:color w:val="000000"/>
          <w:szCs w:val="20"/>
        </w:rPr>
        <w:t xml:space="preserve"> establishing contingency plans to manage short term disruptions</w:t>
      </w:r>
      <w:r w:rsidR="00D267BE">
        <w:rPr>
          <w:rFonts w:cs="Arial"/>
          <w:color w:val="000000"/>
          <w:szCs w:val="20"/>
        </w:rPr>
        <w:t>,</w:t>
      </w:r>
      <w:r w:rsidR="00831D85">
        <w:rPr>
          <w:rFonts w:cs="Arial"/>
          <w:color w:val="000000"/>
          <w:szCs w:val="20"/>
        </w:rPr>
        <w:t xml:space="preserve"> </w:t>
      </w:r>
      <w:r w:rsidR="00D267BE">
        <w:rPr>
          <w:rFonts w:cs="Arial"/>
          <w:color w:val="000000"/>
          <w:szCs w:val="20"/>
        </w:rPr>
        <w:t xml:space="preserve">while </w:t>
      </w:r>
      <w:r w:rsidR="00831D85">
        <w:rPr>
          <w:rFonts w:cs="Arial"/>
          <w:color w:val="000000"/>
          <w:szCs w:val="20"/>
        </w:rPr>
        <w:t>pla</w:t>
      </w:r>
      <w:r w:rsidR="00D267BE">
        <w:rPr>
          <w:rFonts w:cs="Arial"/>
          <w:color w:val="000000"/>
          <w:szCs w:val="20"/>
        </w:rPr>
        <w:t>n</w:t>
      </w:r>
      <w:r w:rsidR="00FE31FD">
        <w:rPr>
          <w:rFonts w:cs="Arial"/>
          <w:color w:val="000000"/>
          <w:szCs w:val="20"/>
        </w:rPr>
        <w:t>ning</w:t>
      </w:r>
      <w:r w:rsidR="00D267BE">
        <w:rPr>
          <w:rFonts w:cs="Arial"/>
          <w:color w:val="000000"/>
          <w:szCs w:val="20"/>
        </w:rPr>
        <w:t xml:space="preserve"> for lengthy project lifespans, in addition to </w:t>
      </w:r>
      <w:r w:rsidR="00831D85">
        <w:rPr>
          <w:rFonts w:cs="Arial"/>
          <w:color w:val="000000"/>
          <w:szCs w:val="20"/>
        </w:rPr>
        <w:t>building strong and respected relationships with local authorities in order to effectively navigate the political and local bureaucratic scene.</w:t>
      </w:r>
      <w:r w:rsidR="00A10AF4">
        <w:rPr>
          <w:rFonts w:cs="Arial"/>
          <w:color w:val="000000"/>
          <w:szCs w:val="20"/>
        </w:rPr>
        <w:t xml:space="preserve"> </w:t>
      </w:r>
    </w:p>
    <w:p w14:paraId="2CEA2EBD" w14:textId="77777777" w:rsidR="00820F31" w:rsidRDefault="00820F31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14:paraId="21C5D5AE" w14:textId="77777777" w:rsidR="00831D85" w:rsidRDefault="008F606D" w:rsidP="00820F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831D85">
        <w:rPr>
          <w:rFonts w:cs="Arial"/>
          <w:color w:val="000000"/>
          <w:szCs w:val="20"/>
        </w:rPr>
        <w:t xml:space="preserve">The B&amp;R initiative is a vast and ambitious undertaking, possibly the largest transcontinental infrastructure programme the world has known </w:t>
      </w:r>
      <w:r w:rsidR="00A10AF4">
        <w:rPr>
          <w:rFonts w:cs="Arial"/>
          <w:color w:val="000000"/>
          <w:szCs w:val="20"/>
        </w:rPr>
        <w:t xml:space="preserve">– this is really </w:t>
      </w:r>
      <w:r w:rsidR="00831D85">
        <w:rPr>
          <w:rFonts w:cs="Arial"/>
          <w:color w:val="000000"/>
          <w:szCs w:val="20"/>
        </w:rPr>
        <w:t>only just beginning</w:t>
      </w:r>
      <w:r w:rsidR="00A10AF4">
        <w:rPr>
          <w:rFonts w:cs="CharterITCStd-Regular"/>
          <w:szCs w:val="20"/>
        </w:rPr>
        <w:t xml:space="preserve">.” </w:t>
      </w:r>
    </w:p>
    <w:p w14:paraId="3A6C779F" w14:textId="77777777" w:rsidR="001550F4" w:rsidRPr="00850F9A" w:rsidRDefault="001550F4" w:rsidP="00820F31">
      <w:pPr>
        <w:autoSpaceDE w:val="0"/>
        <w:autoSpaceDN w:val="0"/>
        <w:adjustRightInd w:val="0"/>
        <w:spacing w:line="240" w:lineRule="auto"/>
        <w:rPr>
          <w:rFonts w:cs="CharterITC-Regu"/>
          <w:b/>
          <w:color w:val="000000" w:themeColor="text1"/>
          <w:szCs w:val="20"/>
        </w:rPr>
      </w:pPr>
    </w:p>
    <w:p w14:paraId="26B01C08" w14:textId="77777777" w:rsidR="005C4682" w:rsidRPr="00850F9A" w:rsidRDefault="005C4682" w:rsidP="00820F31">
      <w:pPr>
        <w:tabs>
          <w:tab w:val="left" w:pos="2043"/>
        </w:tabs>
        <w:autoSpaceDE w:val="0"/>
        <w:autoSpaceDN w:val="0"/>
        <w:adjustRightInd w:val="0"/>
        <w:spacing w:line="240" w:lineRule="auto"/>
        <w:rPr>
          <w:b/>
          <w:szCs w:val="20"/>
        </w:rPr>
      </w:pPr>
      <w:bookmarkStart w:id="0" w:name="_GoBack"/>
      <w:bookmarkEnd w:id="0"/>
    </w:p>
    <w:p w14:paraId="4D302111" w14:textId="77777777" w:rsidR="00AE3B4D" w:rsidRPr="00850F9A" w:rsidRDefault="00EB59E8" w:rsidP="00820F31">
      <w:pPr>
        <w:spacing w:line="240" w:lineRule="auto"/>
        <w:rPr>
          <w:b/>
          <w:szCs w:val="20"/>
        </w:rPr>
      </w:pPr>
      <w:r w:rsidRPr="00850F9A">
        <w:rPr>
          <w:b/>
          <w:szCs w:val="20"/>
        </w:rPr>
        <w:t>Note</w:t>
      </w:r>
      <w:r w:rsidRPr="00850F9A">
        <w:rPr>
          <w:b/>
          <w:strike/>
          <w:szCs w:val="20"/>
        </w:rPr>
        <w:t>s</w:t>
      </w:r>
      <w:r w:rsidR="00E35B73" w:rsidRPr="00850F9A">
        <w:rPr>
          <w:b/>
          <w:szCs w:val="20"/>
        </w:rPr>
        <w:t xml:space="preserve"> to editor:</w:t>
      </w:r>
    </w:p>
    <w:p w14:paraId="4A7171ED" w14:textId="77777777" w:rsidR="00AE3B4D" w:rsidRPr="00850F9A" w:rsidRDefault="00AE3B4D" w:rsidP="00820F31">
      <w:pPr>
        <w:tabs>
          <w:tab w:val="left" w:pos="2043"/>
        </w:tabs>
        <w:autoSpaceDE w:val="0"/>
        <w:autoSpaceDN w:val="0"/>
        <w:adjustRightInd w:val="0"/>
        <w:spacing w:line="240" w:lineRule="auto"/>
        <w:rPr>
          <w:b/>
          <w:szCs w:val="20"/>
        </w:rPr>
      </w:pPr>
    </w:p>
    <w:p w14:paraId="7D2C6863" w14:textId="61FFAE31" w:rsidR="00351C2A" w:rsidRDefault="00351C2A" w:rsidP="00820F3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50F9A">
        <w:rPr>
          <w:rFonts w:ascii="Georgia" w:hAnsi="Georgia" w:cs="Arial"/>
          <w:color w:val="000000"/>
          <w:sz w:val="20"/>
          <w:szCs w:val="20"/>
        </w:rPr>
        <w:t xml:space="preserve">PwC’s Growth Markets Centre </w:t>
      </w:r>
      <w:r w:rsidR="00991A93">
        <w:rPr>
          <w:rFonts w:ascii="Georgia" w:hAnsi="Georgia" w:cs="Arial"/>
          <w:color w:val="000000"/>
          <w:sz w:val="20"/>
          <w:szCs w:val="20"/>
        </w:rPr>
        <w:t>is global team, which supports companies navigate the ever changing complexities of entering and expanding into and from developing markets</w:t>
      </w:r>
      <w:r w:rsidRPr="00850F9A">
        <w:rPr>
          <w:rFonts w:ascii="Georgia" w:hAnsi="Georgia" w:cs="Arial"/>
          <w:color w:val="000000"/>
          <w:sz w:val="20"/>
          <w:szCs w:val="20"/>
        </w:rPr>
        <w:t xml:space="preserve">. For more information, </w:t>
      </w:r>
      <w:r w:rsidR="00991A93">
        <w:rPr>
          <w:rFonts w:ascii="Georgia" w:hAnsi="Georgia" w:cs="Arial"/>
          <w:color w:val="000000"/>
          <w:sz w:val="20"/>
          <w:szCs w:val="20"/>
        </w:rPr>
        <w:t xml:space="preserve">please contact </w:t>
      </w:r>
      <w:hyperlink r:id="rId10" w:history="1">
        <w:r w:rsidR="00991A93" w:rsidRPr="00991A93">
          <w:rPr>
            <w:rStyle w:val="Hyperlink"/>
            <w:rFonts w:ascii="Georgia" w:hAnsi="Georgia" w:cs="Arial"/>
            <w:sz w:val="20"/>
            <w:szCs w:val="20"/>
          </w:rPr>
          <w:t>David Wijeratne</w:t>
        </w:r>
      </w:hyperlink>
      <w:r w:rsidR="00991A93">
        <w:rPr>
          <w:rFonts w:ascii="Georgia" w:hAnsi="Georgia" w:cs="Arial"/>
          <w:color w:val="000000"/>
          <w:sz w:val="20"/>
          <w:szCs w:val="20"/>
        </w:rPr>
        <w:t xml:space="preserve"> – PwC Growth Markets Centre Leader </w:t>
      </w:r>
      <w:r w:rsidR="00DB6BB0">
        <w:rPr>
          <w:rFonts w:ascii="Georgia" w:hAnsi="Georgia" w:cs="Arial"/>
          <w:color w:val="000000"/>
          <w:sz w:val="20"/>
          <w:szCs w:val="20"/>
        </w:rPr>
        <w:t xml:space="preserve">– </w:t>
      </w:r>
      <w:r w:rsidR="00991A93">
        <w:rPr>
          <w:rFonts w:ascii="Georgia" w:hAnsi="Georgia" w:cs="Arial"/>
          <w:color w:val="000000"/>
          <w:sz w:val="20"/>
          <w:szCs w:val="20"/>
        </w:rPr>
        <w:t xml:space="preserve">or </w:t>
      </w:r>
      <w:r w:rsidRPr="00850F9A">
        <w:rPr>
          <w:rFonts w:ascii="Georgia" w:hAnsi="Georgia" w:cs="Arial"/>
          <w:color w:val="000000"/>
          <w:sz w:val="20"/>
          <w:szCs w:val="20"/>
        </w:rPr>
        <w:t>visit</w:t>
      </w:r>
      <w:r w:rsidRPr="00850F9A"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hyperlink r:id="rId11" w:tgtFrame="_blank" w:history="1">
        <w:r w:rsidRPr="00850F9A">
          <w:rPr>
            <w:rStyle w:val="Hyperlink"/>
            <w:rFonts w:ascii="Georgia" w:hAnsi="Georgia" w:cs="Arial"/>
            <w:color w:val="2BA6CB"/>
            <w:sz w:val="20"/>
            <w:szCs w:val="20"/>
          </w:rPr>
          <w:t>www.pwc.com/gmc</w:t>
        </w:r>
      </w:hyperlink>
      <w:r w:rsidRPr="00850F9A">
        <w:rPr>
          <w:color w:val="000000"/>
          <w:sz w:val="20"/>
          <w:szCs w:val="20"/>
        </w:rPr>
        <w:t>​</w:t>
      </w:r>
    </w:p>
    <w:p w14:paraId="7CE2B468" w14:textId="77777777" w:rsidR="00820F31" w:rsidRPr="00850F9A" w:rsidRDefault="00820F31" w:rsidP="00820F3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0"/>
          <w:szCs w:val="20"/>
        </w:rPr>
      </w:pPr>
    </w:p>
    <w:p w14:paraId="2BAD8F42" w14:textId="77777777" w:rsidR="00351C2A" w:rsidRDefault="00351C2A" w:rsidP="00820F3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0"/>
          <w:szCs w:val="20"/>
        </w:rPr>
      </w:pPr>
      <w:r w:rsidRPr="00850F9A">
        <w:rPr>
          <w:rFonts w:ascii="Georgia" w:hAnsi="Georgia" w:cs="Arial"/>
          <w:color w:val="000000"/>
          <w:sz w:val="20"/>
          <w:szCs w:val="20"/>
        </w:rPr>
        <w:t xml:space="preserve">You can download a copy of </w:t>
      </w:r>
      <w:r w:rsidRPr="00FE31FD">
        <w:rPr>
          <w:rFonts w:ascii="Georgia" w:hAnsi="Georgia" w:cs="Arial"/>
          <w:i/>
          <w:color w:val="000000"/>
          <w:sz w:val="20"/>
          <w:szCs w:val="20"/>
        </w:rPr>
        <w:t>‘</w:t>
      </w:r>
      <w:r w:rsidR="00FE31FD" w:rsidRPr="00FE31FD">
        <w:rPr>
          <w:rFonts w:ascii="Georgia" w:hAnsi="Georgia" w:cs="Arial"/>
          <w:i/>
          <w:color w:val="000000"/>
          <w:sz w:val="20"/>
          <w:szCs w:val="20"/>
        </w:rPr>
        <w:t>Repaving the ancient Silk Routes</w:t>
      </w:r>
      <w:r w:rsidR="00D91DB4">
        <w:rPr>
          <w:rFonts w:ascii="Georgia" w:hAnsi="Georgia" w:cs="Arial"/>
          <w:i/>
          <w:color w:val="000000"/>
          <w:sz w:val="20"/>
          <w:szCs w:val="20"/>
        </w:rPr>
        <w:t>’</w:t>
      </w:r>
      <w:r w:rsidR="00D91DB4">
        <w:t xml:space="preserve"> </w:t>
      </w:r>
      <w:hyperlink r:id="rId12" w:tgtFrame="_blank" w:history="1">
        <w:r w:rsidRPr="00850F9A">
          <w:rPr>
            <w:rStyle w:val="Hyperlink"/>
            <w:rFonts w:ascii="Georgia" w:hAnsi="Georgia" w:cs="Arial"/>
            <w:color w:val="2BA6CB"/>
            <w:sz w:val="20"/>
            <w:szCs w:val="20"/>
          </w:rPr>
          <w:t>here</w:t>
        </w:r>
      </w:hyperlink>
      <w:r w:rsidRPr="00850F9A">
        <w:rPr>
          <w:color w:val="000000"/>
          <w:sz w:val="20"/>
          <w:szCs w:val="20"/>
        </w:rPr>
        <w:t>​</w:t>
      </w:r>
      <w:r w:rsidRPr="00850F9A">
        <w:rPr>
          <w:rFonts w:ascii="Georgia" w:hAnsi="Georgia" w:cs="Arial"/>
          <w:color w:val="000000"/>
          <w:sz w:val="20"/>
          <w:szCs w:val="20"/>
        </w:rPr>
        <w:t>.</w:t>
      </w:r>
    </w:p>
    <w:p w14:paraId="202FE23C" w14:textId="77777777" w:rsidR="00820F31" w:rsidRPr="00850F9A" w:rsidRDefault="00820F31" w:rsidP="00820F3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0"/>
          <w:szCs w:val="20"/>
        </w:rPr>
      </w:pPr>
    </w:p>
    <w:p w14:paraId="3C5DA308" w14:textId="77777777" w:rsidR="005C4682" w:rsidRPr="00850F9A" w:rsidRDefault="00B87D94" w:rsidP="00820F3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Georgia"/>
          <w:b/>
          <w:sz w:val="20"/>
          <w:szCs w:val="20"/>
        </w:rPr>
      </w:pPr>
      <w:r w:rsidRPr="00850F9A">
        <w:rPr>
          <w:rFonts w:ascii="Georgia" w:hAnsi="Georgia" w:cs="Georgia"/>
          <w:b/>
          <w:sz w:val="20"/>
          <w:szCs w:val="20"/>
        </w:rPr>
        <w:t>About PwC</w:t>
      </w:r>
    </w:p>
    <w:p w14:paraId="6F442B64" w14:textId="77777777" w:rsidR="00A43813" w:rsidRPr="00850F9A" w:rsidRDefault="00D41942" w:rsidP="00820F31">
      <w:pPr>
        <w:pStyle w:val="NormalWeb"/>
        <w:shd w:val="clear" w:color="auto" w:fill="FFFFFF"/>
        <w:spacing w:before="0" w:beforeAutospacing="0" w:after="0" w:afterAutospacing="0"/>
        <w:rPr>
          <w:rFonts w:ascii="Georgia" w:eastAsia="Calibri" w:hAnsi="Georgia" w:cs="Georgia"/>
          <w:color w:val="000000"/>
          <w:sz w:val="20"/>
          <w:szCs w:val="20"/>
        </w:rPr>
      </w:pPr>
      <w:r w:rsidRPr="00850F9A">
        <w:rPr>
          <w:rFonts w:ascii="Georgia" w:hAnsi="Georgia" w:cs="Georgia"/>
          <w:sz w:val="20"/>
          <w:szCs w:val="20"/>
        </w:rPr>
        <w:t xml:space="preserve">At PwC, our purpose is to build trust in society and solve important problems. We’re a network of firms in </w:t>
      </w:r>
      <w:r w:rsidR="00D03811" w:rsidRPr="00850F9A">
        <w:rPr>
          <w:rFonts w:ascii="Georgia" w:hAnsi="Georgia" w:cs="Georgia"/>
          <w:sz w:val="20"/>
          <w:szCs w:val="20"/>
        </w:rPr>
        <w:t>157 countries with more than 223</w:t>
      </w:r>
      <w:r w:rsidRPr="00850F9A">
        <w:rPr>
          <w:rFonts w:ascii="Georgia" w:hAnsi="Georgia" w:cs="Georgia"/>
          <w:sz w:val="20"/>
          <w:szCs w:val="20"/>
        </w:rPr>
        <w:t xml:space="preserve">,000 people who are committed to delivering quality in assurance, advisory and tax services. Find out more and tell us what matters to you by visiting us at </w:t>
      </w:r>
      <w:hyperlink r:id="rId13" w:history="1">
        <w:r w:rsidR="009174E4" w:rsidRPr="00850F9A">
          <w:rPr>
            <w:rStyle w:val="Hyperlink"/>
            <w:rFonts w:ascii="Georgia" w:hAnsi="Georgia" w:cs="Georgia"/>
            <w:sz w:val="20"/>
            <w:szCs w:val="20"/>
          </w:rPr>
          <w:t>www.pwc.com</w:t>
        </w:r>
      </w:hyperlink>
      <w:r w:rsidR="009174E4" w:rsidRPr="00850F9A">
        <w:rPr>
          <w:rFonts w:ascii="Georgia" w:hAnsi="Georgia" w:cs="Georgia"/>
          <w:sz w:val="20"/>
          <w:szCs w:val="20"/>
        </w:rPr>
        <w:t>.</w:t>
      </w:r>
      <w:r w:rsidR="009174E4" w:rsidRPr="00850F9A">
        <w:rPr>
          <w:rFonts w:ascii="Georgia" w:eastAsia="Calibri" w:hAnsi="Georgia" w:cs="Georgia"/>
          <w:color w:val="000000"/>
          <w:sz w:val="20"/>
          <w:szCs w:val="20"/>
        </w:rPr>
        <w:t xml:space="preserve"> </w:t>
      </w:r>
      <w:r w:rsidRPr="00850F9A">
        <w:rPr>
          <w:rFonts w:ascii="Georgia" w:eastAsia="Calibri" w:hAnsi="Georgia" w:cs="Georgia"/>
          <w:color w:val="000000"/>
          <w:sz w:val="20"/>
          <w:szCs w:val="20"/>
        </w:rPr>
        <w:br/>
      </w:r>
      <w:r w:rsidRPr="00850F9A">
        <w:rPr>
          <w:rFonts w:ascii="Georgia" w:eastAsia="Calibri" w:hAnsi="Georgia" w:cs="Georgia"/>
          <w:color w:val="000000"/>
          <w:sz w:val="20"/>
          <w:szCs w:val="20"/>
        </w:rPr>
        <w:br/>
      </w:r>
      <w:r w:rsidRPr="00850F9A">
        <w:rPr>
          <w:rFonts w:ascii="Georgia" w:hAnsi="Georgia" w:cs="Georgia"/>
          <w:sz w:val="20"/>
          <w:szCs w:val="20"/>
        </w:rPr>
        <w:t xml:space="preserve">PwC refers to the PwC network and/or one or more of its member firms, each of which is a separate legal entity. Please see </w:t>
      </w:r>
      <w:hyperlink r:id="rId14" w:history="1">
        <w:r w:rsidR="009174E4" w:rsidRPr="00850F9A">
          <w:rPr>
            <w:rStyle w:val="Hyperlink"/>
            <w:rFonts w:ascii="Georgia" w:hAnsi="Georgia" w:cs="Georgia"/>
            <w:sz w:val="20"/>
            <w:szCs w:val="20"/>
          </w:rPr>
          <w:t>www.pwc.com/structure</w:t>
        </w:r>
      </w:hyperlink>
      <w:r w:rsidR="009174E4" w:rsidRPr="00850F9A">
        <w:rPr>
          <w:rFonts w:ascii="Georgia" w:hAnsi="Georgia" w:cs="Georgia"/>
          <w:sz w:val="20"/>
          <w:szCs w:val="20"/>
        </w:rPr>
        <w:t xml:space="preserve"> </w:t>
      </w:r>
      <w:r w:rsidR="00D03811" w:rsidRPr="00850F9A">
        <w:rPr>
          <w:rFonts w:ascii="Georgia" w:hAnsi="Georgia" w:cs="Georgia"/>
          <w:sz w:val="20"/>
          <w:szCs w:val="20"/>
        </w:rPr>
        <w:t>for further details.</w:t>
      </w:r>
      <w:r w:rsidR="00D03811" w:rsidRPr="00850F9A">
        <w:rPr>
          <w:rFonts w:ascii="Georgia" w:hAnsi="Georgia" w:cs="Georgia"/>
          <w:sz w:val="20"/>
          <w:szCs w:val="20"/>
        </w:rPr>
        <w:br/>
      </w:r>
      <w:r w:rsidR="00D03811" w:rsidRPr="00850F9A">
        <w:rPr>
          <w:rFonts w:ascii="Georgia" w:hAnsi="Georgia" w:cs="Georgia"/>
          <w:sz w:val="20"/>
          <w:szCs w:val="20"/>
        </w:rPr>
        <w:br/>
        <w:t>© 2017</w:t>
      </w:r>
      <w:r w:rsidRPr="00850F9A">
        <w:rPr>
          <w:rFonts w:ascii="Georgia" w:hAnsi="Georgia" w:cs="Georgia"/>
          <w:sz w:val="20"/>
          <w:szCs w:val="20"/>
        </w:rPr>
        <w:t xml:space="preserve"> PwC. All rights reserved.</w:t>
      </w:r>
      <w:r w:rsidR="00F308ED" w:rsidRPr="00850F9A">
        <w:rPr>
          <w:rFonts w:ascii="Georgia" w:hAnsi="Georgia" w:cs="Georgia"/>
          <w:sz w:val="20"/>
          <w:szCs w:val="20"/>
        </w:rPr>
        <w:br/>
      </w:r>
    </w:p>
    <w:sectPr w:rsidR="00A43813" w:rsidRPr="00850F9A" w:rsidSect="00D419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7" w:h="16839"/>
      <w:pgMar w:top="3137" w:right="850" w:bottom="851" w:left="198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E5960" w14:textId="77777777" w:rsidR="00154295" w:rsidRDefault="00154295">
      <w:pPr>
        <w:spacing w:line="240" w:lineRule="auto"/>
      </w:pPr>
      <w:r>
        <w:separator/>
      </w:r>
    </w:p>
  </w:endnote>
  <w:endnote w:type="continuationSeparator" w:id="0">
    <w:p w14:paraId="0DD43394" w14:textId="77777777" w:rsidR="00154295" w:rsidRDefault="00154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terITC-Reg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ECE5C" w14:textId="77777777" w:rsidR="004B1F5A" w:rsidRDefault="004B1F5A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20F31">
      <w:rPr>
        <w:noProof/>
      </w:rPr>
      <w:t>2</w:t>
    </w:r>
    <w:r>
      <w:rPr>
        <w:noProof/>
      </w:rPr>
      <w:fldChar w:fldCharType="end"/>
    </w:r>
    <w:r>
      <w:t xml:space="preserve"> of </w:t>
    </w:r>
    <w:r w:rsidR="00154295">
      <w:fldChar w:fldCharType="begin"/>
    </w:r>
    <w:r w:rsidR="00154295">
      <w:instrText xml:space="preserve"> NUMPAGES  \* MERGEFORMAT </w:instrText>
    </w:r>
    <w:r w:rsidR="00154295">
      <w:fldChar w:fldCharType="separate"/>
    </w:r>
    <w:r w:rsidR="00820F31">
      <w:rPr>
        <w:noProof/>
      </w:rPr>
      <w:t>3</w:t>
    </w:r>
    <w:r w:rsidR="0015429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0EF05" w14:textId="77777777" w:rsidR="004B1F5A" w:rsidRDefault="004B1F5A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20F31">
      <w:rPr>
        <w:noProof/>
      </w:rPr>
      <w:t>3</w:t>
    </w:r>
    <w:r>
      <w:rPr>
        <w:noProof/>
      </w:rPr>
      <w:fldChar w:fldCharType="end"/>
    </w:r>
    <w:r>
      <w:t xml:space="preserve"> of </w:t>
    </w:r>
    <w:r w:rsidR="00154295">
      <w:fldChar w:fldCharType="begin"/>
    </w:r>
    <w:r w:rsidR="00154295">
      <w:instrText xml:space="preserve"> NUMPAGES  \* MERGEFORMAT </w:instrText>
    </w:r>
    <w:r w:rsidR="00154295">
      <w:fldChar w:fldCharType="separate"/>
    </w:r>
    <w:r w:rsidR="00820F31">
      <w:rPr>
        <w:noProof/>
      </w:rPr>
      <w:t>3</w:t>
    </w:r>
    <w:r w:rsidR="001542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5DA26" w14:textId="77777777" w:rsidR="00154295" w:rsidRDefault="00154295">
      <w:pPr>
        <w:spacing w:line="240" w:lineRule="auto"/>
      </w:pPr>
      <w:r>
        <w:separator/>
      </w:r>
    </w:p>
  </w:footnote>
  <w:footnote w:type="continuationSeparator" w:id="0">
    <w:p w14:paraId="4188DC72" w14:textId="77777777" w:rsidR="00154295" w:rsidRDefault="00154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EB1C" w14:textId="77777777" w:rsidR="004B1F5A" w:rsidRDefault="004B1F5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3700BD4" wp14:editId="4C8280A2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4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A75DE5" w14:textId="77777777" w:rsidR="004B1F5A" w:rsidRDefault="004B1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6670" w14:textId="77777777" w:rsidR="004B1F5A" w:rsidRDefault="004B1F5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458D9EAB" wp14:editId="650CDB76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5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5DB70B" w14:textId="77777777" w:rsidR="004B1F5A" w:rsidRDefault="004B1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42DD" w14:textId="77777777" w:rsidR="004B1F5A" w:rsidRDefault="004B1F5A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1" layoutInCell="1" allowOverlap="1" wp14:anchorId="394C39CD" wp14:editId="3C523195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6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961BEA"/>
    <w:lvl w:ilvl="0">
      <w:numFmt w:val="bullet"/>
      <w:lvlText w:val="*"/>
      <w:lvlJc w:val="left"/>
    </w:lvl>
  </w:abstractNum>
  <w:abstractNum w:abstractNumId="1" w15:restartNumberingAfterBreak="0">
    <w:nsid w:val="008933FB"/>
    <w:multiLevelType w:val="hybridMultilevel"/>
    <w:tmpl w:val="E706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37A79"/>
    <w:multiLevelType w:val="hybridMultilevel"/>
    <w:tmpl w:val="AB92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5589"/>
    <w:multiLevelType w:val="hybridMultilevel"/>
    <w:tmpl w:val="61D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3F44"/>
    <w:multiLevelType w:val="hybridMultilevel"/>
    <w:tmpl w:val="8392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0153"/>
    <w:multiLevelType w:val="hybridMultilevel"/>
    <w:tmpl w:val="130A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CF3A23"/>
    <w:multiLevelType w:val="multilevel"/>
    <w:tmpl w:val="423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24CE8"/>
    <w:multiLevelType w:val="hybridMultilevel"/>
    <w:tmpl w:val="40C4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006C"/>
    <w:multiLevelType w:val="hybridMultilevel"/>
    <w:tmpl w:val="373A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2BB4"/>
    <w:multiLevelType w:val="hybridMultilevel"/>
    <w:tmpl w:val="87FA2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63A6F"/>
    <w:multiLevelType w:val="hybridMultilevel"/>
    <w:tmpl w:val="D81C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3A60"/>
    <w:multiLevelType w:val="hybridMultilevel"/>
    <w:tmpl w:val="EB7A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48B1"/>
    <w:multiLevelType w:val="hybridMultilevel"/>
    <w:tmpl w:val="FF5C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10A10"/>
    <w:multiLevelType w:val="hybridMultilevel"/>
    <w:tmpl w:val="624A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324B8"/>
    <w:multiLevelType w:val="hybridMultilevel"/>
    <w:tmpl w:val="9BB8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2006"/>
    <w:multiLevelType w:val="hybridMultilevel"/>
    <w:tmpl w:val="7F28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2A64"/>
    <w:multiLevelType w:val="hybridMultilevel"/>
    <w:tmpl w:val="1A3020B4"/>
    <w:lvl w:ilvl="0" w:tplc="92960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Helv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47438"/>
    <w:multiLevelType w:val="hybridMultilevel"/>
    <w:tmpl w:val="A8C0424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372A18"/>
    <w:multiLevelType w:val="hybridMultilevel"/>
    <w:tmpl w:val="4762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C5214"/>
    <w:multiLevelType w:val="hybridMultilevel"/>
    <w:tmpl w:val="2CD2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C0E64"/>
    <w:multiLevelType w:val="hybridMultilevel"/>
    <w:tmpl w:val="D918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F0F64"/>
    <w:multiLevelType w:val="hybridMultilevel"/>
    <w:tmpl w:val="3FD6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64FD5"/>
    <w:multiLevelType w:val="hybridMultilevel"/>
    <w:tmpl w:val="B714F3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E67DA"/>
    <w:multiLevelType w:val="hybridMultilevel"/>
    <w:tmpl w:val="B0CE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45227"/>
    <w:multiLevelType w:val="hybridMultilevel"/>
    <w:tmpl w:val="42869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97BE4"/>
    <w:multiLevelType w:val="hybridMultilevel"/>
    <w:tmpl w:val="7DFC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5138A"/>
    <w:multiLevelType w:val="hybridMultilevel"/>
    <w:tmpl w:val="E98EA896"/>
    <w:lvl w:ilvl="0" w:tplc="2D709CE6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72EAB"/>
    <w:multiLevelType w:val="hybridMultilevel"/>
    <w:tmpl w:val="3B14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144A5"/>
    <w:multiLevelType w:val="hybridMultilevel"/>
    <w:tmpl w:val="67DC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26554"/>
    <w:multiLevelType w:val="hybridMultilevel"/>
    <w:tmpl w:val="2B826B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2C7544"/>
    <w:multiLevelType w:val="hybridMultilevel"/>
    <w:tmpl w:val="E72A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B490D"/>
    <w:multiLevelType w:val="hybridMultilevel"/>
    <w:tmpl w:val="546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909D9"/>
    <w:multiLevelType w:val="hybridMultilevel"/>
    <w:tmpl w:val="86DAD9A4"/>
    <w:lvl w:ilvl="0" w:tplc="10889B90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66F7F"/>
    <w:multiLevelType w:val="hybridMultilevel"/>
    <w:tmpl w:val="80D4AA6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14479"/>
    <w:multiLevelType w:val="hybridMultilevel"/>
    <w:tmpl w:val="22AA3E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BB45750"/>
    <w:multiLevelType w:val="hybridMultilevel"/>
    <w:tmpl w:val="CC52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2625A"/>
    <w:multiLevelType w:val="hybridMultilevel"/>
    <w:tmpl w:val="C9BE094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05326A9"/>
    <w:multiLevelType w:val="hybridMultilevel"/>
    <w:tmpl w:val="A222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22B32"/>
    <w:multiLevelType w:val="hybridMultilevel"/>
    <w:tmpl w:val="B4A6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021DD"/>
    <w:multiLevelType w:val="hybridMultilevel"/>
    <w:tmpl w:val="C14060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751B6"/>
    <w:multiLevelType w:val="hybridMultilevel"/>
    <w:tmpl w:val="8F92528E"/>
    <w:lvl w:ilvl="0" w:tplc="E6DC1BFA">
      <w:start w:val="1"/>
      <w:numFmt w:val="decimal"/>
      <w:pStyle w:val="List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99A114A"/>
    <w:multiLevelType w:val="hybridMultilevel"/>
    <w:tmpl w:val="D438E2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A1072"/>
    <w:multiLevelType w:val="hybridMultilevel"/>
    <w:tmpl w:val="51F8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D79B9"/>
    <w:multiLevelType w:val="hybridMultilevel"/>
    <w:tmpl w:val="C9EABCF8"/>
    <w:lvl w:ilvl="0" w:tplc="0FF8FAB4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90343"/>
    <w:multiLevelType w:val="hybridMultilevel"/>
    <w:tmpl w:val="AF84FE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945A4"/>
    <w:multiLevelType w:val="hybridMultilevel"/>
    <w:tmpl w:val="E70653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0"/>
  </w:num>
  <w:num w:numId="5">
    <w:abstractNumId w:val="40"/>
    <w:lvlOverride w:ilvl="0">
      <w:startOverride w:val="1"/>
    </w:lvlOverride>
  </w:num>
  <w:num w:numId="6">
    <w:abstractNumId w:val="6"/>
  </w:num>
  <w:num w:numId="7">
    <w:abstractNumId w:val="23"/>
  </w:num>
  <w:num w:numId="8">
    <w:abstractNumId w:val="24"/>
  </w:num>
  <w:num w:numId="9">
    <w:abstractNumId w:val="18"/>
  </w:num>
  <w:num w:numId="10">
    <w:abstractNumId w:val="1"/>
  </w:num>
  <w:num w:numId="11">
    <w:abstractNumId w:val="4"/>
  </w:num>
  <w:num w:numId="12">
    <w:abstractNumId w:val="15"/>
  </w:num>
  <w:num w:numId="13">
    <w:abstractNumId w:val="8"/>
  </w:num>
  <w:num w:numId="14">
    <w:abstractNumId w:val="34"/>
  </w:num>
  <w:num w:numId="15">
    <w:abstractNumId w:val="29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7">
    <w:abstractNumId w:val="36"/>
  </w:num>
  <w:num w:numId="18">
    <w:abstractNumId w:val="32"/>
  </w:num>
  <w:num w:numId="19">
    <w:abstractNumId w:val="26"/>
  </w:num>
  <w:num w:numId="20">
    <w:abstractNumId w:val="17"/>
  </w:num>
  <w:num w:numId="21">
    <w:abstractNumId w:val="38"/>
  </w:num>
  <w:num w:numId="22">
    <w:abstractNumId w:val="30"/>
  </w:num>
  <w:num w:numId="23">
    <w:abstractNumId w:val="25"/>
  </w:num>
  <w:num w:numId="24">
    <w:abstractNumId w:val="9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3"/>
  </w:num>
  <w:num w:numId="27">
    <w:abstractNumId w:val="16"/>
  </w:num>
  <w:num w:numId="28">
    <w:abstractNumId w:val="45"/>
  </w:num>
  <w:num w:numId="29">
    <w:abstractNumId w:val="39"/>
  </w:num>
  <w:num w:numId="30">
    <w:abstractNumId w:val="33"/>
  </w:num>
  <w:num w:numId="31">
    <w:abstractNumId w:val="22"/>
  </w:num>
  <w:num w:numId="32">
    <w:abstractNumId w:val="41"/>
  </w:num>
  <w:num w:numId="33">
    <w:abstractNumId w:val="20"/>
  </w:num>
  <w:num w:numId="34">
    <w:abstractNumId w:val="44"/>
  </w:num>
  <w:num w:numId="35">
    <w:abstractNumId w:val="19"/>
  </w:num>
  <w:num w:numId="36">
    <w:abstractNumId w:val="11"/>
  </w:num>
  <w:num w:numId="37">
    <w:abstractNumId w:val="14"/>
  </w:num>
  <w:num w:numId="38">
    <w:abstractNumId w:val="2"/>
  </w:num>
  <w:num w:numId="39">
    <w:abstractNumId w:val="21"/>
  </w:num>
  <w:num w:numId="40">
    <w:abstractNumId w:val="42"/>
  </w:num>
  <w:num w:numId="41">
    <w:abstractNumId w:val="35"/>
  </w:num>
  <w:num w:numId="42">
    <w:abstractNumId w:val="27"/>
  </w:num>
  <w:num w:numId="43">
    <w:abstractNumId w:val="31"/>
  </w:num>
  <w:num w:numId="44">
    <w:abstractNumId w:val="28"/>
  </w:num>
  <w:num w:numId="45">
    <w:abstractNumId w:val="10"/>
  </w:num>
  <w:num w:numId="46">
    <w:abstractNumId w:val="43"/>
  </w:num>
  <w:num w:numId="47">
    <w:abstractNumId w:val="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BF"/>
    <w:rsid w:val="0000021D"/>
    <w:rsid w:val="00006089"/>
    <w:rsid w:val="00006F1C"/>
    <w:rsid w:val="0001257D"/>
    <w:rsid w:val="00025B36"/>
    <w:rsid w:val="00025B59"/>
    <w:rsid w:val="00026D41"/>
    <w:rsid w:val="00027AD2"/>
    <w:rsid w:val="00031B7C"/>
    <w:rsid w:val="00037210"/>
    <w:rsid w:val="00037A85"/>
    <w:rsid w:val="00042A50"/>
    <w:rsid w:val="0004559F"/>
    <w:rsid w:val="00051E03"/>
    <w:rsid w:val="00055FBC"/>
    <w:rsid w:val="0006592C"/>
    <w:rsid w:val="00073420"/>
    <w:rsid w:val="000738F4"/>
    <w:rsid w:val="00080B6D"/>
    <w:rsid w:val="00083BE3"/>
    <w:rsid w:val="00092A23"/>
    <w:rsid w:val="000970C8"/>
    <w:rsid w:val="000A2E67"/>
    <w:rsid w:val="000A3F05"/>
    <w:rsid w:val="000A7587"/>
    <w:rsid w:val="000B25F0"/>
    <w:rsid w:val="000B3F74"/>
    <w:rsid w:val="000B4BA3"/>
    <w:rsid w:val="000C05B0"/>
    <w:rsid w:val="000C1459"/>
    <w:rsid w:val="000C6668"/>
    <w:rsid w:val="000C7CA9"/>
    <w:rsid w:val="000D610D"/>
    <w:rsid w:val="000E39D9"/>
    <w:rsid w:val="000E597C"/>
    <w:rsid w:val="000E5BB5"/>
    <w:rsid w:val="000E5EAD"/>
    <w:rsid w:val="000E74B6"/>
    <w:rsid w:val="000F025A"/>
    <w:rsid w:val="000F3CAA"/>
    <w:rsid w:val="001037C2"/>
    <w:rsid w:val="00104822"/>
    <w:rsid w:val="001203FF"/>
    <w:rsid w:val="00130C58"/>
    <w:rsid w:val="00131EF6"/>
    <w:rsid w:val="001413D2"/>
    <w:rsid w:val="00142030"/>
    <w:rsid w:val="001450BB"/>
    <w:rsid w:val="00147E8C"/>
    <w:rsid w:val="0015306A"/>
    <w:rsid w:val="00154295"/>
    <w:rsid w:val="001550F4"/>
    <w:rsid w:val="00155152"/>
    <w:rsid w:val="00157979"/>
    <w:rsid w:val="001619B9"/>
    <w:rsid w:val="00166851"/>
    <w:rsid w:val="0017102F"/>
    <w:rsid w:val="001779EF"/>
    <w:rsid w:val="001801A1"/>
    <w:rsid w:val="00180257"/>
    <w:rsid w:val="00181097"/>
    <w:rsid w:val="00184B99"/>
    <w:rsid w:val="00184E43"/>
    <w:rsid w:val="001864CA"/>
    <w:rsid w:val="0019109A"/>
    <w:rsid w:val="00191764"/>
    <w:rsid w:val="00192574"/>
    <w:rsid w:val="00196791"/>
    <w:rsid w:val="001A1DA0"/>
    <w:rsid w:val="001B4F07"/>
    <w:rsid w:val="001C1F5A"/>
    <w:rsid w:val="001C556A"/>
    <w:rsid w:val="001D0CCD"/>
    <w:rsid w:val="001D457F"/>
    <w:rsid w:val="001D519A"/>
    <w:rsid w:val="001D69EB"/>
    <w:rsid w:val="001D71C8"/>
    <w:rsid w:val="001E1771"/>
    <w:rsid w:val="001E509F"/>
    <w:rsid w:val="001F09A1"/>
    <w:rsid w:val="001F5310"/>
    <w:rsid w:val="001F7FDE"/>
    <w:rsid w:val="0020384E"/>
    <w:rsid w:val="002064F5"/>
    <w:rsid w:val="00206D7D"/>
    <w:rsid w:val="002101C8"/>
    <w:rsid w:val="002175B4"/>
    <w:rsid w:val="00217A05"/>
    <w:rsid w:val="00223485"/>
    <w:rsid w:val="00234A3A"/>
    <w:rsid w:val="00242B72"/>
    <w:rsid w:val="002456A6"/>
    <w:rsid w:val="00247A1B"/>
    <w:rsid w:val="00250156"/>
    <w:rsid w:val="00253931"/>
    <w:rsid w:val="00253EB4"/>
    <w:rsid w:val="00255EA7"/>
    <w:rsid w:val="0026194C"/>
    <w:rsid w:val="00262F9A"/>
    <w:rsid w:val="002716DF"/>
    <w:rsid w:val="00281AA1"/>
    <w:rsid w:val="002927B4"/>
    <w:rsid w:val="002A06E4"/>
    <w:rsid w:val="002A0725"/>
    <w:rsid w:val="002A0D89"/>
    <w:rsid w:val="002A26BA"/>
    <w:rsid w:val="002B4ED6"/>
    <w:rsid w:val="002C02FA"/>
    <w:rsid w:val="002C7410"/>
    <w:rsid w:val="002D4EBF"/>
    <w:rsid w:val="002F0769"/>
    <w:rsid w:val="002F2508"/>
    <w:rsid w:val="002F583B"/>
    <w:rsid w:val="003014BF"/>
    <w:rsid w:val="003120B9"/>
    <w:rsid w:val="003217FA"/>
    <w:rsid w:val="003269F4"/>
    <w:rsid w:val="00327CAA"/>
    <w:rsid w:val="003307DC"/>
    <w:rsid w:val="003319AF"/>
    <w:rsid w:val="003350DB"/>
    <w:rsid w:val="0033514E"/>
    <w:rsid w:val="00340E5C"/>
    <w:rsid w:val="00351C2A"/>
    <w:rsid w:val="003541CF"/>
    <w:rsid w:val="003668DB"/>
    <w:rsid w:val="00367292"/>
    <w:rsid w:val="00370616"/>
    <w:rsid w:val="00370FD7"/>
    <w:rsid w:val="0037166E"/>
    <w:rsid w:val="0038029D"/>
    <w:rsid w:val="00381CEA"/>
    <w:rsid w:val="003903B3"/>
    <w:rsid w:val="00391F75"/>
    <w:rsid w:val="00392E9E"/>
    <w:rsid w:val="00396F94"/>
    <w:rsid w:val="003A3A5F"/>
    <w:rsid w:val="003B0A15"/>
    <w:rsid w:val="003B2A11"/>
    <w:rsid w:val="003B3245"/>
    <w:rsid w:val="003C6020"/>
    <w:rsid w:val="003D0769"/>
    <w:rsid w:val="003D6E6F"/>
    <w:rsid w:val="003E5288"/>
    <w:rsid w:val="003F285F"/>
    <w:rsid w:val="003F5D7C"/>
    <w:rsid w:val="004004AB"/>
    <w:rsid w:val="00407BA3"/>
    <w:rsid w:val="0042239C"/>
    <w:rsid w:val="00431D40"/>
    <w:rsid w:val="004347BD"/>
    <w:rsid w:val="00435890"/>
    <w:rsid w:val="00435DE4"/>
    <w:rsid w:val="00451C86"/>
    <w:rsid w:val="00464666"/>
    <w:rsid w:val="0046480B"/>
    <w:rsid w:val="00467301"/>
    <w:rsid w:val="0047511F"/>
    <w:rsid w:val="004843BF"/>
    <w:rsid w:val="00484C34"/>
    <w:rsid w:val="004875B1"/>
    <w:rsid w:val="00487738"/>
    <w:rsid w:val="0049184A"/>
    <w:rsid w:val="00491C0A"/>
    <w:rsid w:val="00495F2E"/>
    <w:rsid w:val="004A3B4F"/>
    <w:rsid w:val="004A3C39"/>
    <w:rsid w:val="004A3D60"/>
    <w:rsid w:val="004A53CD"/>
    <w:rsid w:val="004A6875"/>
    <w:rsid w:val="004A6DB7"/>
    <w:rsid w:val="004A77C1"/>
    <w:rsid w:val="004B0B70"/>
    <w:rsid w:val="004B1F5A"/>
    <w:rsid w:val="004B6CF2"/>
    <w:rsid w:val="004C37E5"/>
    <w:rsid w:val="004C456F"/>
    <w:rsid w:val="004C6379"/>
    <w:rsid w:val="004D165F"/>
    <w:rsid w:val="004E6818"/>
    <w:rsid w:val="004F16C3"/>
    <w:rsid w:val="00502C36"/>
    <w:rsid w:val="00504AC6"/>
    <w:rsid w:val="00507AD0"/>
    <w:rsid w:val="00512190"/>
    <w:rsid w:val="0051679C"/>
    <w:rsid w:val="0052637E"/>
    <w:rsid w:val="005351C7"/>
    <w:rsid w:val="00536B56"/>
    <w:rsid w:val="00547B51"/>
    <w:rsid w:val="00547F5D"/>
    <w:rsid w:val="0055109A"/>
    <w:rsid w:val="00552F79"/>
    <w:rsid w:val="00560F75"/>
    <w:rsid w:val="00563941"/>
    <w:rsid w:val="005724D0"/>
    <w:rsid w:val="00576701"/>
    <w:rsid w:val="00596248"/>
    <w:rsid w:val="005A56A0"/>
    <w:rsid w:val="005A7F7D"/>
    <w:rsid w:val="005B4F8B"/>
    <w:rsid w:val="005C100D"/>
    <w:rsid w:val="005C4584"/>
    <w:rsid w:val="005C4682"/>
    <w:rsid w:val="005D2CD9"/>
    <w:rsid w:val="005E1A2F"/>
    <w:rsid w:val="005E3303"/>
    <w:rsid w:val="005F0918"/>
    <w:rsid w:val="00602098"/>
    <w:rsid w:val="006056B6"/>
    <w:rsid w:val="006064AB"/>
    <w:rsid w:val="00617A6D"/>
    <w:rsid w:val="00626306"/>
    <w:rsid w:val="00631183"/>
    <w:rsid w:val="00634DFE"/>
    <w:rsid w:val="006357DF"/>
    <w:rsid w:val="00647916"/>
    <w:rsid w:val="00664438"/>
    <w:rsid w:val="00671153"/>
    <w:rsid w:val="00681FA2"/>
    <w:rsid w:val="0068344E"/>
    <w:rsid w:val="0068466B"/>
    <w:rsid w:val="006846F1"/>
    <w:rsid w:val="00684734"/>
    <w:rsid w:val="00686F0B"/>
    <w:rsid w:val="00691323"/>
    <w:rsid w:val="006928B6"/>
    <w:rsid w:val="006A798F"/>
    <w:rsid w:val="006D0353"/>
    <w:rsid w:val="006D7D5C"/>
    <w:rsid w:val="006E269D"/>
    <w:rsid w:val="006E3D11"/>
    <w:rsid w:val="006E531D"/>
    <w:rsid w:val="006F5AE7"/>
    <w:rsid w:val="006F7060"/>
    <w:rsid w:val="00702AC7"/>
    <w:rsid w:val="00703ADD"/>
    <w:rsid w:val="0070640E"/>
    <w:rsid w:val="00707E58"/>
    <w:rsid w:val="007112C6"/>
    <w:rsid w:val="00716059"/>
    <w:rsid w:val="007213AF"/>
    <w:rsid w:val="007214ED"/>
    <w:rsid w:val="007217A2"/>
    <w:rsid w:val="00736CFA"/>
    <w:rsid w:val="00737E70"/>
    <w:rsid w:val="00745677"/>
    <w:rsid w:val="00757CE0"/>
    <w:rsid w:val="00757DE7"/>
    <w:rsid w:val="007602F6"/>
    <w:rsid w:val="007632D3"/>
    <w:rsid w:val="00764981"/>
    <w:rsid w:val="0078192B"/>
    <w:rsid w:val="00786237"/>
    <w:rsid w:val="00786361"/>
    <w:rsid w:val="007920D4"/>
    <w:rsid w:val="00796245"/>
    <w:rsid w:val="007A1D35"/>
    <w:rsid w:val="007A6851"/>
    <w:rsid w:val="007B4128"/>
    <w:rsid w:val="007C4D9A"/>
    <w:rsid w:val="007D487C"/>
    <w:rsid w:val="007E5FC3"/>
    <w:rsid w:val="007E67BE"/>
    <w:rsid w:val="007E7C2D"/>
    <w:rsid w:val="007F231D"/>
    <w:rsid w:val="007F32A4"/>
    <w:rsid w:val="008114EA"/>
    <w:rsid w:val="00820F31"/>
    <w:rsid w:val="008230BB"/>
    <w:rsid w:val="0082432C"/>
    <w:rsid w:val="00831B1C"/>
    <w:rsid w:val="00831D85"/>
    <w:rsid w:val="00833EF4"/>
    <w:rsid w:val="00836C80"/>
    <w:rsid w:val="00842BCD"/>
    <w:rsid w:val="0084473F"/>
    <w:rsid w:val="00846730"/>
    <w:rsid w:val="008478E6"/>
    <w:rsid w:val="00850F9A"/>
    <w:rsid w:val="0086384A"/>
    <w:rsid w:val="0086464A"/>
    <w:rsid w:val="008669CA"/>
    <w:rsid w:val="0087791A"/>
    <w:rsid w:val="00883B2F"/>
    <w:rsid w:val="00884ABF"/>
    <w:rsid w:val="0088640A"/>
    <w:rsid w:val="00890DB6"/>
    <w:rsid w:val="008925C4"/>
    <w:rsid w:val="008A36AD"/>
    <w:rsid w:val="008B6898"/>
    <w:rsid w:val="008C0265"/>
    <w:rsid w:val="008C137C"/>
    <w:rsid w:val="008C465B"/>
    <w:rsid w:val="008C7251"/>
    <w:rsid w:val="008D0B6D"/>
    <w:rsid w:val="008D42AE"/>
    <w:rsid w:val="008D74BC"/>
    <w:rsid w:val="008E3475"/>
    <w:rsid w:val="008E7B72"/>
    <w:rsid w:val="008F1D2C"/>
    <w:rsid w:val="008F3D83"/>
    <w:rsid w:val="008F4A74"/>
    <w:rsid w:val="008F606D"/>
    <w:rsid w:val="008F6C69"/>
    <w:rsid w:val="00900E2D"/>
    <w:rsid w:val="00902DF5"/>
    <w:rsid w:val="00905927"/>
    <w:rsid w:val="00915D42"/>
    <w:rsid w:val="00915D58"/>
    <w:rsid w:val="00916130"/>
    <w:rsid w:val="009174E4"/>
    <w:rsid w:val="009231DE"/>
    <w:rsid w:val="009326ED"/>
    <w:rsid w:val="009374C1"/>
    <w:rsid w:val="00942489"/>
    <w:rsid w:val="00942B71"/>
    <w:rsid w:val="00947DB5"/>
    <w:rsid w:val="00952C90"/>
    <w:rsid w:val="00957055"/>
    <w:rsid w:val="0096366C"/>
    <w:rsid w:val="00966D9A"/>
    <w:rsid w:val="00967E01"/>
    <w:rsid w:val="0097271A"/>
    <w:rsid w:val="009749D2"/>
    <w:rsid w:val="00974E5C"/>
    <w:rsid w:val="00980FE7"/>
    <w:rsid w:val="00987339"/>
    <w:rsid w:val="00991A93"/>
    <w:rsid w:val="009A0687"/>
    <w:rsid w:val="009A2C87"/>
    <w:rsid w:val="009A3681"/>
    <w:rsid w:val="009A7589"/>
    <w:rsid w:val="009D12DD"/>
    <w:rsid w:val="009E0240"/>
    <w:rsid w:val="009F1C29"/>
    <w:rsid w:val="009F2AA8"/>
    <w:rsid w:val="00A021AB"/>
    <w:rsid w:val="00A02236"/>
    <w:rsid w:val="00A04D27"/>
    <w:rsid w:val="00A06E9B"/>
    <w:rsid w:val="00A10AF4"/>
    <w:rsid w:val="00A11301"/>
    <w:rsid w:val="00A12B7C"/>
    <w:rsid w:val="00A20D0A"/>
    <w:rsid w:val="00A2125E"/>
    <w:rsid w:val="00A22786"/>
    <w:rsid w:val="00A2674D"/>
    <w:rsid w:val="00A342C8"/>
    <w:rsid w:val="00A3649C"/>
    <w:rsid w:val="00A36C4F"/>
    <w:rsid w:val="00A43813"/>
    <w:rsid w:val="00A44847"/>
    <w:rsid w:val="00A53974"/>
    <w:rsid w:val="00A558C0"/>
    <w:rsid w:val="00A611CA"/>
    <w:rsid w:val="00A7332C"/>
    <w:rsid w:val="00A737F6"/>
    <w:rsid w:val="00A764C7"/>
    <w:rsid w:val="00A76F6B"/>
    <w:rsid w:val="00A81E05"/>
    <w:rsid w:val="00A83BEC"/>
    <w:rsid w:val="00A9103D"/>
    <w:rsid w:val="00A95987"/>
    <w:rsid w:val="00AA1B9F"/>
    <w:rsid w:val="00AA3565"/>
    <w:rsid w:val="00AB0B28"/>
    <w:rsid w:val="00AB7F65"/>
    <w:rsid w:val="00AD0A70"/>
    <w:rsid w:val="00AD1C2A"/>
    <w:rsid w:val="00AD34E4"/>
    <w:rsid w:val="00AD6505"/>
    <w:rsid w:val="00AE24C1"/>
    <w:rsid w:val="00AE2AE8"/>
    <w:rsid w:val="00AE3B4D"/>
    <w:rsid w:val="00AE40A9"/>
    <w:rsid w:val="00AE497B"/>
    <w:rsid w:val="00AE6CAA"/>
    <w:rsid w:val="00B02678"/>
    <w:rsid w:val="00B107AB"/>
    <w:rsid w:val="00B218FC"/>
    <w:rsid w:val="00B261E3"/>
    <w:rsid w:val="00B26894"/>
    <w:rsid w:val="00B41A5E"/>
    <w:rsid w:val="00B5772D"/>
    <w:rsid w:val="00B57DD2"/>
    <w:rsid w:val="00B7197C"/>
    <w:rsid w:val="00B7432C"/>
    <w:rsid w:val="00B753B8"/>
    <w:rsid w:val="00B76604"/>
    <w:rsid w:val="00B81393"/>
    <w:rsid w:val="00B87D94"/>
    <w:rsid w:val="00B915A4"/>
    <w:rsid w:val="00B92202"/>
    <w:rsid w:val="00B95DF0"/>
    <w:rsid w:val="00BA1D9E"/>
    <w:rsid w:val="00BA2C44"/>
    <w:rsid w:val="00BA5793"/>
    <w:rsid w:val="00BA7AEC"/>
    <w:rsid w:val="00BB4837"/>
    <w:rsid w:val="00BB5805"/>
    <w:rsid w:val="00BC0AD3"/>
    <w:rsid w:val="00BC1346"/>
    <w:rsid w:val="00BC184A"/>
    <w:rsid w:val="00BC7B35"/>
    <w:rsid w:val="00BE53EB"/>
    <w:rsid w:val="00BF0726"/>
    <w:rsid w:val="00BF25E2"/>
    <w:rsid w:val="00BF7BE9"/>
    <w:rsid w:val="00C0173C"/>
    <w:rsid w:val="00C02C0C"/>
    <w:rsid w:val="00C02D2C"/>
    <w:rsid w:val="00C05316"/>
    <w:rsid w:val="00C05A4B"/>
    <w:rsid w:val="00C12B50"/>
    <w:rsid w:val="00C1474D"/>
    <w:rsid w:val="00C14ECD"/>
    <w:rsid w:val="00C17E0F"/>
    <w:rsid w:val="00C20808"/>
    <w:rsid w:val="00C21F61"/>
    <w:rsid w:val="00C225D6"/>
    <w:rsid w:val="00C25B6B"/>
    <w:rsid w:val="00C3002A"/>
    <w:rsid w:val="00C335C6"/>
    <w:rsid w:val="00C338DA"/>
    <w:rsid w:val="00C34563"/>
    <w:rsid w:val="00C40DEE"/>
    <w:rsid w:val="00C463D7"/>
    <w:rsid w:val="00C53D80"/>
    <w:rsid w:val="00C55273"/>
    <w:rsid w:val="00C750CE"/>
    <w:rsid w:val="00C76C8A"/>
    <w:rsid w:val="00C83020"/>
    <w:rsid w:val="00C84232"/>
    <w:rsid w:val="00C847E0"/>
    <w:rsid w:val="00C90E0C"/>
    <w:rsid w:val="00C93C21"/>
    <w:rsid w:val="00C948E7"/>
    <w:rsid w:val="00CA47D8"/>
    <w:rsid w:val="00CA485F"/>
    <w:rsid w:val="00CB2B63"/>
    <w:rsid w:val="00CB36CB"/>
    <w:rsid w:val="00CC0731"/>
    <w:rsid w:val="00CC0CB8"/>
    <w:rsid w:val="00CC319E"/>
    <w:rsid w:val="00CC4F0D"/>
    <w:rsid w:val="00CC6B76"/>
    <w:rsid w:val="00CD13EA"/>
    <w:rsid w:val="00CE2FBD"/>
    <w:rsid w:val="00CF0369"/>
    <w:rsid w:val="00CF1E36"/>
    <w:rsid w:val="00CF5C8F"/>
    <w:rsid w:val="00D03811"/>
    <w:rsid w:val="00D04058"/>
    <w:rsid w:val="00D05667"/>
    <w:rsid w:val="00D05735"/>
    <w:rsid w:val="00D10EED"/>
    <w:rsid w:val="00D168BB"/>
    <w:rsid w:val="00D17AA8"/>
    <w:rsid w:val="00D267BE"/>
    <w:rsid w:val="00D3511F"/>
    <w:rsid w:val="00D378B1"/>
    <w:rsid w:val="00D40842"/>
    <w:rsid w:val="00D41942"/>
    <w:rsid w:val="00D46AAE"/>
    <w:rsid w:val="00D53F1E"/>
    <w:rsid w:val="00D61B21"/>
    <w:rsid w:val="00D6786E"/>
    <w:rsid w:val="00D70E73"/>
    <w:rsid w:val="00D824B2"/>
    <w:rsid w:val="00D873D6"/>
    <w:rsid w:val="00D90359"/>
    <w:rsid w:val="00D91DB4"/>
    <w:rsid w:val="00D95AB0"/>
    <w:rsid w:val="00D967D9"/>
    <w:rsid w:val="00DA4D04"/>
    <w:rsid w:val="00DA536C"/>
    <w:rsid w:val="00DA7511"/>
    <w:rsid w:val="00DB1D43"/>
    <w:rsid w:val="00DB579D"/>
    <w:rsid w:val="00DB6992"/>
    <w:rsid w:val="00DB6BB0"/>
    <w:rsid w:val="00DB6FA8"/>
    <w:rsid w:val="00DB79EF"/>
    <w:rsid w:val="00DB7A31"/>
    <w:rsid w:val="00DC06D8"/>
    <w:rsid w:val="00DC7EE3"/>
    <w:rsid w:val="00DD02D4"/>
    <w:rsid w:val="00DD059E"/>
    <w:rsid w:val="00DD2CC6"/>
    <w:rsid w:val="00DD5723"/>
    <w:rsid w:val="00DD5DC5"/>
    <w:rsid w:val="00DD7447"/>
    <w:rsid w:val="00DF7682"/>
    <w:rsid w:val="00E07BBF"/>
    <w:rsid w:val="00E07F2B"/>
    <w:rsid w:val="00E1070E"/>
    <w:rsid w:val="00E129E0"/>
    <w:rsid w:val="00E16A0B"/>
    <w:rsid w:val="00E3392F"/>
    <w:rsid w:val="00E35B73"/>
    <w:rsid w:val="00E41A00"/>
    <w:rsid w:val="00E44005"/>
    <w:rsid w:val="00E50FE3"/>
    <w:rsid w:val="00E52274"/>
    <w:rsid w:val="00E622C6"/>
    <w:rsid w:val="00E6463B"/>
    <w:rsid w:val="00E65E98"/>
    <w:rsid w:val="00E65FD8"/>
    <w:rsid w:val="00E72918"/>
    <w:rsid w:val="00E74F6E"/>
    <w:rsid w:val="00E84975"/>
    <w:rsid w:val="00E863D8"/>
    <w:rsid w:val="00E932E1"/>
    <w:rsid w:val="00E93D80"/>
    <w:rsid w:val="00E9739D"/>
    <w:rsid w:val="00E97E9D"/>
    <w:rsid w:val="00EA08F7"/>
    <w:rsid w:val="00EA5E4B"/>
    <w:rsid w:val="00EB35DE"/>
    <w:rsid w:val="00EB41D7"/>
    <w:rsid w:val="00EB59E8"/>
    <w:rsid w:val="00EB5AE5"/>
    <w:rsid w:val="00EC2F36"/>
    <w:rsid w:val="00EC37A5"/>
    <w:rsid w:val="00EC4453"/>
    <w:rsid w:val="00EC5082"/>
    <w:rsid w:val="00EC6081"/>
    <w:rsid w:val="00EC7D6D"/>
    <w:rsid w:val="00ED0336"/>
    <w:rsid w:val="00ED4FDE"/>
    <w:rsid w:val="00ED54FF"/>
    <w:rsid w:val="00ED6A2F"/>
    <w:rsid w:val="00EE20F8"/>
    <w:rsid w:val="00EE493F"/>
    <w:rsid w:val="00EF2B88"/>
    <w:rsid w:val="00EF5FE9"/>
    <w:rsid w:val="00F0072F"/>
    <w:rsid w:val="00F01FEB"/>
    <w:rsid w:val="00F03552"/>
    <w:rsid w:val="00F0537B"/>
    <w:rsid w:val="00F0781F"/>
    <w:rsid w:val="00F10DEA"/>
    <w:rsid w:val="00F1189F"/>
    <w:rsid w:val="00F16B5C"/>
    <w:rsid w:val="00F308ED"/>
    <w:rsid w:val="00F30FE5"/>
    <w:rsid w:val="00F32364"/>
    <w:rsid w:val="00F3252C"/>
    <w:rsid w:val="00F33BE0"/>
    <w:rsid w:val="00F4086E"/>
    <w:rsid w:val="00F4214A"/>
    <w:rsid w:val="00F566FF"/>
    <w:rsid w:val="00F62520"/>
    <w:rsid w:val="00F6326F"/>
    <w:rsid w:val="00F644F2"/>
    <w:rsid w:val="00F721EB"/>
    <w:rsid w:val="00F77143"/>
    <w:rsid w:val="00F8134D"/>
    <w:rsid w:val="00F82B48"/>
    <w:rsid w:val="00F8648C"/>
    <w:rsid w:val="00F904D0"/>
    <w:rsid w:val="00F92745"/>
    <w:rsid w:val="00F96690"/>
    <w:rsid w:val="00FA24DB"/>
    <w:rsid w:val="00FA7A5B"/>
    <w:rsid w:val="00FA7E48"/>
    <w:rsid w:val="00FC03DB"/>
    <w:rsid w:val="00FC08CB"/>
    <w:rsid w:val="00FC6B43"/>
    <w:rsid w:val="00FD1820"/>
    <w:rsid w:val="00FD427C"/>
    <w:rsid w:val="00FD5939"/>
    <w:rsid w:val="00FE046F"/>
    <w:rsid w:val="00FE31FD"/>
    <w:rsid w:val="00FF002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0A665"/>
  <w15:docId w15:val="{AFC879A3-7FF1-4715-A621-B96C2078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BF"/>
    <w:pPr>
      <w:spacing w:line="240" w:lineRule="atLeast"/>
    </w:pPr>
    <w:rPr>
      <w:rFonts w:ascii="Georgia" w:hAnsi="Georgi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14B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4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14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4BF"/>
  </w:style>
  <w:style w:type="paragraph" w:styleId="Footer">
    <w:name w:val="footer"/>
    <w:basedOn w:val="Normal"/>
    <w:link w:val="FooterChar"/>
    <w:uiPriority w:val="99"/>
    <w:unhideWhenUsed/>
    <w:rsid w:val="003014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BF"/>
  </w:style>
  <w:style w:type="paragraph" w:styleId="BodyText">
    <w:name w:val="Body Text"/>
    <w:basedOn w:val="Normal"/>
    <w:link w:val="BodyTextChar"/>
    <w:uiPriority w:val="99"/>
    <w:unhideWhenUsed/>
    <w:rsid w:val="003014B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3014BF"/>
    <w:rPr>
      <w:rFonts w:ascii="Georgia" w:hAnsi="Georgi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14BF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4BF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paragraph" w:customStyle="1" w:styleId="Address">
    <w:name w:val="Address"/>
    <w:basedOn w:val="Normal"/>
    <w:link w:val="AddressChar"/>
    <w:rsid w:val="003014BF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rsid w:val="003014BF"/>
    <w:rPr>
      <w:rFonts w:ascii="Georgia" w:hAnsi="Georgia"/>
      <w:i/>
      <w:sz w:val="18"/>
    </w:rPr>
  </w:style>
  <w:style w:type="paragraph" w:customStyle="1" w:styleId="Disclaimer">
    <w:name w:val="Disclaimer"/>
    <w:basedOn w:val="Normal"/>
    <w:link w:val="DisclaimerChar"/>
    <w:rsid w:val="003014BF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rsid w:val="003014BF"/>
    <w:rPr>
      <w:rFonts w:ascii="Arial" w:hAnsi="Arial" w:cs="Arial"/>
      <w:sz w:val="12"/>
    </w:rPr>
  </w:style>
  <w:style w:type="character" w:customStyle="1" w:styleId="Heading1Char">
    <w:name w:val="Heading 1 Char"/>
    <w:basedOn w:val="DefaultParagraphFont"/>
    <w:link w:val="Heading1"/>
    <w:rsid w:val="003014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leaseBodyText">
    <w:name w:val="Release Body Text"/>
    <w:rsid w:val="003014BF"/>
    <w:rPr>
      <w:rFonts w:ascii="Arial" w:eastAsia="Times New Roman" w:hAnsi="Arial" w:cs="Arial"/>
      <w:lang w:eastAsia="en-US"/>
    </w:rPr>
  </w:style>
  <w:style w:type="paragraph" w:customStyle="1" w:styleId="Heading">
    <w:name w:val="Heading"/>
    <w:basedOn w:val="Normal"/>
    <w:rsid w:val="003014BF"/>
    <w:pPr>
      <w:spacing w:line="240" w:lineRule="auto"/>
    </w:pPr>
    <w:rPr>
      <w:rFonts w:ascii="Arial" w:eastAsia="Times New Roman" w:hAnsi="Arial"/>
      <w:b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3014BF"/>
    <w:pPr>
      <w:spacing w:after="240"/>
      <w:ind w:left="720"/>
      <w:contextualSpacing/>
    </w:pPr>
    <w:rPr>
      <w:rFonts w:ascii="Calibri" w:eastAsia="Times New Roman" w:hAnsi="Calibri"/>
      <w:color w:val="000000"/>
      <w:sz w:val="21"/>
      <w:szCs w:val="21"/>
      <w:lang w:eastAsia="zh-CN"/>
    </w:rPr>
  </w:style>
  <w:style w:type="character" w:customStyle="1" w:styleId="fullstory">
    <w:name w:val="fullstory"/>
    <w:basedOn w:val="DefaultParagraphFont"/>
    <w:rsid w:val="003014BF"/>
  </w:style>
  <w:style w:type="paragraph" w:customStyle="1" w:styleId="ListNumbered">
    <w:name w:val="List Numbered"/>
    <w:basedOn w:val="Normal"/>
    <w:rsid w:val="003014BF"/>
    <w:pPr>
      <w:numPr>
        <w:numId w:val="4"/>
      </w:numPr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4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3014BF"/>
    <w:rPr>
      <w:strike w:val="0"/>
      <w:dstrike w:val="0"/>
      <w:color w:val="0097D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014BF"/>
    <w:rPr>
      <w:b/>
      <w:bCs/>
    </w:rPr>
  </w:style>
  <w:style w:type="character" w:customStyle="1" w:styleId="date-display-single">
    <w:name w:val="date-display-single"/>
    <w:basedOn w:val="DefaultParagraphFont"/>
    <w:rsid w:val="003014BF"/>
  </w:style>
  <w:style w:type="character" w:customStyle="1" w:styleId="date-display-start">
    <w:name w:val="date-display-start"/>
    <w:basedOn w:val="DefaultParagraphFont"/>
    <w:rsid w:val="003014BF"/>
  </w:style>
  <w:style w:type="character" w:customStyle="1" w:styleId="date-display-end">
    <w:name w:val="date-display-end"/>
    <w:basedOn w:val="DefaultParagraphFont"/>
    <w:rsid w:val="003014BF"/>
  </w:style>
  <w:style w:type="character" w:customStyle="1" w:styleId="date-display-separator">
    <w:name w:val="date-display-separator"/>
    <w:basedOn w:val="DefaultParagraphFont"/>
    <w:rsid w:val="003014BF"/>
  </w:style>
  <w:style w:type="character" w:customStyle="1" w:styleId="field-content2">
    <w:name w:val="field-content2"/>
    <w:basedOn w:val="DefaultParagraphFont"/>
    <w:rsid w:val="003014BF"/>
  </w:style>
  <w:style w:type="character" w:styleId="CommentReference">
    <w:name w:val="annotation reference"/>
    <w:basedOn w:val="DefaultParagraphFont"/>
    <w:uiPriority w:val="99"/>
    <w:semiHidden/>
    <w:unhideWhenUsed/>
    <w:rsid w:val="0030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4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4BF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4BF"/>
    <w:rPr>
      <w:rFonts w:ascii="Georgia" w:hAnsi="Georg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BF"/>
    <w:rPr>
      <w:rFonts w:ascii="Tahoma" w:hAnsi="Tahoma" w:cs="Tahoma"/>
      <w:sz w:val="16"/>
      <w:szCs w:val="16"/>
      <w:lang w:eastAsia="en-US"/>
    </w:rPr>
  </w:style>
  <w:style w:type="character" w:customStyle="1" w:styleId="at5">
    <w:name w:val="a__t5"/>
    <w:basedOn w:val="DefaultParagraphFont"/>
    <w:rsid w:val="003014BF"/>
  </w:style>
  <w:style w:type="paragraph" w:customStyle="1" w:styleId="PIText">
    <w:name w:val="PI Text"/>
    <w:basedOn w:val="BodyTextIndent"/>
    <w:link w:val="PITextZchn"/>
    <w:rsid w:val="003014BF"/>
    <w:pPr>
      <w:spacing w:after="0" w:line="360" w:lineRule="auto"/>
      <w:ind w:left="0" w:right="-2"/>
      <w:jc w:val="both"/>
    </w:pPr>
    <w:rPr>
      <w:rFonts w:ascii="Univers" w:eastAsia="Times New Roman" w:hAnsi="Univers"/>
      <w:sz w:val="22"/>
      <w:szCs w:val="24"/>
      <w:lang w:val="de-DE" w:eastAsia="de-DE"/>
    </w:rPr>
  </w:style>
  <w:style w:type="character" w:customStyle="1" w:styleId="PITextZchn">
    <w:name w:val="PI Text Zchn"/>
    <w:basedOn w:val="DefaultParagraphFont"/>
    <w:link w:val="PIText"/>
    <w:locked/>
    <w:rsid w:val="003014BF"/>
    <w:rPr>
      <w:rFonts w:ascii="Univers" w:eastAsia="Times New Roman" w:hAnsi="Univers"/>
      <w:sz w:val="22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4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4BF"/>
    <w:rPr>
      <w:rFonts w:ascii="Georgia" w:hAnsi="Georgia"/>
      <w:szCs w:val="22"/>
      <w:lang w:eastAsia="en-US"/>
    </w:rPr>
  </w:style>
  <w:style w:type="paragraph" w:styleId="Quote">
    <w:name w:val="Quote"/>
    <w:basedOn w:val="ReleaseBodyText"/>
    <w:link w:val="QuoteChar"/>
    <w:qFormat/>
    <w:rsid w:val="003014BF"/>
    <w:pPr>
      <w:ind w:left="540"/>
    </w:pPr>
  </w:style>
  <w:style w:type="character" w:customStyle="1" w:styleId="QuoteChar">
    <w:name w:val="Quote Char"/>
    <w:basedOn w:val="DefaultParagraphFont"/>
    <w:link w:val="Quote"/>
    <w:rsid w:val="003014BF"/>
    <w:rPr>
      <w:rFonts w:ascii="Arial" w:eastAsia="Times New Roman" w:hAnsi="Arial" w:cs="Arial"/>
      <w:lang w:eastAsia="en-US"/>
    </w:rPr>
  </w:style>
  <w:style w:type="paragraph" w:customStyle="1" w:styleId="Listsub-heading">
    <w:name w:val="List sub-heading"/>
    <w:basedOn w:val="Normal"/>
    <w:rsid w:val="003014BF"/>
    <w:pPr>
      <w:spacing w:line="240" w:lineRule="auto"/>
    </w:pPr>
    <w:rPr>
      <w:rFonts w:ascii="Arial" w:eastAsia="Times New Roman" w:hAnsi="Arial" w:cs="Arial"/>
      <w:b/>
      <w:i/>
      <w:szCs w:val="20"/>
    </w:rPr>
  </w:style>
  <w:style w:type="paragraph" w:customStyle="1" w:styleId="ListBullet1">
    <w:name w:val="List Bullet1"/>
    <w:basedOn w:val="Normal"/>
    <w:rsid w:val="003014BF"/>
    <w:pPr>
      <w:numPr>
        <w:numId w:val="19"/>
      </w:numPr>
      <w:spacing w:line="240" w:lineRule="auto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unhideWhenUsed/>
    <w:rsid w:val="00301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15A4"/>
    <w:rPr>
      <w:color w:val="800080" w:themeColor="followedHyperlink"/>
      <w:u w:val="single"/>
    </w:rPr>
  </w:style>
  <w:style w:type="paragraph" w:customStyle="1" w:styleId="Default">
    <w:name w:val="Default"/>
    <w:rsid w:val="000C6668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F5FE9"/>
  </w:style>
  <w:style w:type="character" w:styleId="Emphasis">
    <w:name w:val="Emphasis"/>
    <w:basedOn w:val="DefaultParagraphFont"/>
    <w:hidden/>
    <w:uiPriority w:val="20"/>
    <w:qFormat/>
    <w:rsid w:val="00EA08F7"/>
    <w:rPr>
      <w:i/>
      <w:iCs/>
    </w:rPr>
  </w:style>
  <w:style w:type="paragraph" w:customStyle="1" w:styleId="BodySingle">
    <w:name w:val="Body Single"/>
    <w:basedOn w:val="BodyText"/>
    <w:link w:val="BodySingleChar"/>
    <w:qFormat/>
    <w:rsid w:val="004A77C1"/>
    <w:pPr>
      <w:spacing w:after="0"/>
    </w:pPr>
    <w:rPr>
      <w:rFonts w:eastAsiaTheme="minorHAnsi" w:cstheme="minorBidi"/>
      <w:szCs w:val="20"/>
    </w:rPr>
  </w:style>
  <w:style w:type="character" w:customStyle="1" w:styleId="BodySingleChar">
    <w:name w:val="Body Single Char"/>
    <w:basedOn w:val="BodyTextChar"/>
    <w:link w:val="BodySingle"/>
    <w:rsid w:val="004A77C1"/>
    <w:rPr>
      <w:rFonts w:ascii="Georgia" w:eastAsiaTheme="minorHAnsi" w:hAnsi="Georgia" w:cstheme="minorBidi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2C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2C8"/>
    <w:rPr>
      <w:rFonts w:ascii="Georgia" w:hAnsi="Georgi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342C8"/>
    <w:rPr>
      <w:vertAlign w:val="superscript"/>
    </w:rPr>
  </w:style>
  <w:style w:type="paragraph" w:styleId="Revision">
    <w:name w:val="Revision"/>
    <w:hidden/>
    <w:uiPriority w:val="99"/>
    <w:semiHidden/>
    <w:rsid w:val="00850F9A"/>
    <w:rPr>
      <w:rFonts w:ascii="Georgia" w:hAnsi="Georgia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D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4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6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9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8D4D0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3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016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13110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8332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905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983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789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3822457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4009840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6988933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242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364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1863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0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5007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.yk.au-yong@sg.pwc.com" TargetMode="External"/><Relationship Id="rId13" Type="http://schemas.openxmlformats.org/officeDocument/2006/relationships/hyperlink" Target="http://www.pwc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wc.to/2pJOyN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wc.com/gm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vid.wijeratne@sg.pwc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wc.to/2pJOyND" TargetMode="External"/><Relationship Id="rId14" Type="http://schemas.openxmlformats.org/officeDocument/2006/relationships/hyperlink" Target="http://www.pwc.com/struc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ngdale\AppData\Local\Microsoft\Windows\Temporary%20Internet%20Files\Content.Outlook\QVFKR2U3\News%20release%20a4%20no%20disclaimer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72D4-F392-4258-97E0-DBA394AA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a4 no disclaimer colour.dotx</Template>
  <TotalTime>0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8446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mailto:rowena.mearley@uk.pwc.com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Hollingdale</dc:creator>
  <cp:keywords/>
  <dc:description/>
  <cp:lastModifiedBy>Shelly Ko Van Pelt</cp:lastModifiedBy>
  <cp:revision>2</cp:revision>
  <cp:lastPrinted>2016-04-27T12:47:00Z</cp:lastPrinted>
  <dcterms:created xsi:type="dcterms:W3CDTF">2017-06-05T15:10:00Z</dcterms:created>
  <dcterms:modified xsi:type="dcterms:W3CDTF">2017-06-05T15:10:00Z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egativeNumbersBrackets">
    <vt:lpwstr>True</vt:lpwstr>
  </property>
  <property fmtid="{D5CDD505-2E9C-101B-9397-08002B2CF9AE}" pid="3" name="EuropeanNumberFormatting">
    <vt:lpwstr>False</vt:lpwstr>
  </property>
  <property fmtid="{D5CDD505-2E9C-101B-9397-08002B2CF9AE}" pid="4" name="NoDecimals">
    <vt:lpwstr>False</vt:lpwstr>
  </property>
  <property fmtid="{D5CDD505-2E9C-101B-9397-08002B2CF9AE}" pid="5" name="CurrencySymbol">
    <vt:lpwstr>€</vt:lpwstr>
  </property>
</Properties>
</file>