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02AA7" w14:textId="77777777" w:rsidR="003014BF" w:rsidRPr="00664438" w:rsidRDefault="00EB41D7" w:rsidP="00FE046F">
      <w:pPr>
        <w:pStyle w:val="Title"/>
        <w:pBdr>
          <w:top w:val="single" w:sz="8" w:space="6" w:color="DC6900"/>
        </w:pBdr>
        <w:rPr>
          <w:rFonts w:ascii="Georgia" w:hAnsi="Georgia"/>
          <w:sz w:val="28"/>
          <w:szCs w:val="28"/>
        </w:rPr>
      </w:pPr>
      <w:r w:rsidRPr="00664438">
        <w:rPr>
          <w:rFonts w:ascii="Georgia" w:hAnsi="Georgia"/>
          <w:sz w:val="28"/>
          <w:szCs w:val="28"/>
        </w:rPr>
        <w:t>News</w:t>
      </w:r>
      <w:r w:rsidR="00FD427C">
        <w:rPr>
          <w:rFonts w:ascii="Georgia" w:hAnsi="Georgia"/>
          <w:sz w:val="28"/>
          <w:szCs w:val="28"/>
        </w:rPr>
        <w:t xml:space="preserve"> r</w:t>
      </w:r>
      <w:r w:rsidR="00B915A4" w:rsidRPr="00664438">
        <w:rPr>
          <w:rFonts w:ascii="Georgia" w:hAnsi="Georgia"/>
          <w:sz w:val="28"/>
          <w:szCs w:val="28"/>
        </w:rPr>
        <w:t>elease</w:t>
      </w:r>
    </w:p>
    <w:tbl>
      <w:tblPr>
        <w:tblpPr w:leftFromText="180" w:rightFromText="180" w:vertAnchor="text" w:tblpY="1"/>
        <w:tblOverlap w:val="never"/>
        <w:tblW w:w="0" w:type="auto"/>
        <w:tblLayout w:type="fixed"/>
        <w:tblLook w:val="0000" w:firstRow="0" w:lastRow="0" w:firstColumn="0" w:lastColumn="0" w:noHBand="0" w:noVBand="0"/>
      </w:tblPr>
      <w:tblGrid>
        <w:gridCol w:w="2268"/>
        <w:gridCol w:w="6629"/>
      </w:tblGrid>
      <w:tr w:rsidR="003014BF" w14:paraId="01956BEC" w14:textId="77777777" w:rsidTr="00A611CA">
        <w:tc>
          <w:tcPr>
            <w:tcW w:w="2268" w:type="dxa"/>
            <w:shd w:val="clear" w:color="auto" w:fill="auto"/>
          </w:tcPr>
          <w:p w14:paraId="50910C41" w14:textId="77777777" w:rsidR="003014BF" w:rsidRDefault="00EB59E8">
            <w:pPr>
              <w:rPr>
                <w:i/>
                <w:sz w:val="22"/>
              </w:rPr>
            </w:pPr>
            <w:r>
              <w:rPr>
                <w:i/>
                <w:sz w:val="22"/>
              </w:rPr>
              <w:t>Date</w:t>
            </w:r>
          </w:p>
        </w:tc>
        <w:tc>
          <w:tcPr>
            <w:tcW w:w="6629" w:type="dxa"/>
            <w:shd w:val="clear" w:color="auto" w:fill="auto"/>
          </w:tcPr>
          <w:p w14:paraId="49C65796" w14:textId="51ED950D" w:rsidR="003668DB" w:rsidRDefault="003668DB" w:rsidP="003668DB">
            <w:pPr>
              <w:rPr>
                <w:b/>
                <w:color w:val="000000" w:themeColor="text1"/>
                <w:sz w:val="22"/>
              </w:rPr>
            </w:pPr>
            <w:r>
              <w:rPr>
                <w:b/>
                <w:color w:val="000000" w:themeColor="text1"/>
                <w:sz w:val="22"/>
              </w:rPr>
              <w:t>0:01am</w:t>
            </w:r>
            <w:r w:rsidRPr="00DB7A31">
              <w:rPr>
                <w:b/>
                <w:color w:val="000000" w:themeColor="text1"/>
                <w:sz w:val="22"/>
              </w:rPr>
              <w:t xml:space="preserve"> </w:t>
            </w:r>
            <w:r w:rsidR="00AE3B4D">
              <w:rPr>
                <w:b/>
                <w:color w:val="000000" w:themeColor="text1"/>
                <w:sz w:val="22"/>
              </w:rPr>
              <w:t>GMT</w:t>
            </w:r>
            <w:r w:rsidRPr="00DB7A31">
              <w:rPr>
                <w:b/>
                <w:color w:val="000000" w:themeColor="text1"/>
                <w:sz w:val="22"/>
              </w:rPr>
              <w:t xml:space="preserve"> </w:t>
            </w:r>
            <w:r w:rsidR="00AE3B4D">
              <w:rPr>
                <w:b/>
                <w:color w:val="000000" w:themeColor="text1"/>
                <w:sz w:val="22"/>
              </w:rPr>
              <w:t xml:space="preserve">on </w:t>
            </w:r>
            <w:r w:rsidR="00D03811">
              <w:rPr>
                <w:b/>
                <w:color w:val="000000" w:themeColor="text1"/>
                <w:sz w:val="22"/>
              </w:rPr>
              <w:t>Wednesday</w:t>
            </w:r>
            <w:r w:rsidR="004A77C1">
              <w:rPr>
                <w:b/>
                <w:color w:val="000000" w:themeColor="text1"/>
                <w:sz w:val="22"/>
              </w:rPr>
              <w:t xml:space="preserve"> </w:t>
            </w:r>
            <w:r w:rsidR="00AE3B4D">
              <w:rPr>
                <w:b/>
                <w:color w:val="000000" w:themeColor="text1"/>
                <w:sz w:val="22"/>
              </w:rPr>
              <w:t>1</w:t>
            </w:r>
            <w:r w:rsidR="00D03811">
              <w:rPr>
                <w:b/>
                <w:color w:val="000000" w:themeColor="text1"/>
                <w:sz w:val="22"/>
              </w:rPr>
              <w:t>1</w:t>
            </w:r>
            <w:r w:rsidR="00D03811">
              <w:rPr>
                <w:b/>
                <w:color w:val="000000" w:themeColor="text1"/>
                <w:sz w:val="22"/>
                <w:vertAlign w:val="superscript"/>
              </w:rPr>
              <w:t>th</w:t>
            </w:r>
            <w:r w:rsidR="00D03811">
              <w:rPr>
                <w:b/>
                <w:color w:val="000000" w:themeColor="text1"/>
                <w:sz w:val="22"/>
              </w:rPr>
              <w:t xml:space="preserve"> of January 2017</w:t>
            </w:r>
          </w:p>
          <w:p w14:paraId="178FC56C" w14:textId="4437AD84" w:rsidR="000E5BB5" w:rsidRDefault="000E5BB5" w:rsidP="000E5BB5">
            <w:pPr>
              <w:rPr>
                <w:b/>
                <w:sz w:val="22"/>
              </w:rPr>
            </w:pPr>
          </w:p>
        </w:tc>
      </w:tr>
      <w:tr w:rsidR="003014BF" w:rsidRPr="00247A1B" w14:paraId="6FEFE2FF" w14:textId="77777777" w:rsidTr="00A611CA">
        <w:tc>
          <w:tcPr>
            <w:tcW w:w="2268" w:type="dxa"/>
            <w:shd w:val="clear" w:color="auto" w:fill="auto"/>
          </w:tcPr>
          <w:p w14:paraId="5C59EC3D" w14:textId="378A6566" w:rsidR="003014BF" w:rsidRPr="00AB7F65" w:rsidRDefault="00EB59E8">
            <w:pPr>
              <w:rPr>
                <w:i/>
                <w:sz w:val="22"/>
              </w:rPr>
            </w:pPr>
            <w:r w:rsidRPr="00AB7F65">
              <w:rPr>
                <w:i/>
                <w:sz w:val="22"/>
              </w:rPr>
              <w:t>Contact</w:t>
            </w:r>
          </w:p>
        </w:tc>
        <w:tc>
          <w:tcPr>
            <w:tcW w:w="6629" w:type="dxa"/>
            <w:shd w:val="clear" w:color="auto" w:fill="auto"/>
          </w:tcPr>
          <w:p w14:paraId="376A8CDA" w14:textId="7BC95CAA" w:rsidR="00D95AB0" w:rsidRPr="00AB7F65" w:rsidRDefault="00D95AB0" w:rsidP="00D95AB0">
            <w:pPr>
              <w:tabs>
                <w:tab w:val="left" w:pos="1440"/>
              </w:tabs>
              <w:ind w:left="1440" w:hanging="1440"/>
              <w:rPr>
                <w:rFonts w:cs="Arial"/>
                <w:sz w:val="22"/>
                <w:lang w:val="it-IT"/>
              </w:rPr>
            </w:pPr>
            <w:r w:rsidRPr="00AB7F65">
              <w:rPr>
                <w:rFonts w:cs="Arial"/>
                <w:bCs/>
                <w:sz w:val="22"/>
                <w:lang w:val="it-IT"/>
              </w:rPr>
              <w:t>Joost Blankenspoor, PwC</w:t>
            </w:r>
          </w:p>
          <w:p w14:paraId="0DAA6B01" w14:textId="77777777" w:rsidR="00D95AB0" w:rsidRPr="00AB7F65" w:rsidRDefault="00D95AB0" w:rsidP="00D95AB0">
            <w:pPr>
              <w:tabs>
                <w:tab w:val="left" w:pos="1440"/>
              </w:tabs>
              <w:ind w:left="1440" w:hanging="1440"/>
              <w:rPr>
                <w:rFonts w:cs="Arial"/>
                <w:sz w:val="22"/>
                <w:lang w:val="it-IT"/>
              </w:rPr>
            </w:pPr>
            <w:r w:rsidRPr="00AB7F65">
              <w:rPr>
                <w:rFonts w:cs="Arial"/>
                <w:sz w:val="22"/>
                <w:lang w:val="it-IT"/>
              </w:rPr>
              <w:t>Tel: +31 88 792 6596</w:t>
            </w:r>
          </w:p>
          <w:p w14:paraId="3F064E1F" w14:textId="5F77BC66" w:rsidR="00C20808" w:rsidRPr="00AB7F65" w:rsidRDefault="00D95AB0" w:rsidP="001550F4">
            <w:pPr>
              <w:tabs>
                <w:tab w:val="left" w:pos="1440"/>
              </w:tabs>
              <w:ind w:left="1440" w:hanging="1440"/>
              <w:rPr>
                <w:rFonts w:cs="Arial"/>
                <w:color w:val="000000" w:themeColor="text1"/>
                <w:sz w:val="22"/>
                <w:lang w:val="it-IT"/>
              </w:rPr>
            </w:pPr>
            <w:r w:rsidRPr="00AB7F65">
              <w:rPr>
                <w:rFonts w:cs="Arial"/>
                <w:sz w:val="22"/>
                <w:lang w:val="it-IT"/>
              </w:rPr>
              <w:t>e-mail:</w:t>
            </w:r>
            <w:r w:rsidRPr="00AB7F65">
              <w:rPr>
                <w:rFonts w:cs="Arial"/>
                <w:color w:val="000000" w:themeColor="text1"/>
                <w:sz w:val="22"/>
                <w:lang w:val="it-IT"/>
              </w:rPr>
              <w:t xml:space="preserve"> </w:t>
            </w:r>
            <w:hyperlink r:id="rId8" w:history="1">
              <w:r w:rsidRPr="00AB7F65">
                <w:rPr>
                  <w:rStyle w:val="Hyperlink"/>
                  <w:rFonts w:cs="Arial"/>
                  <w:sz w:val="22"/>
                  <w:lang w:val="it-IT"/>
                </w:rPr>
                <w:t>joost.blankenspoor@nl.pwc.com</w:t>
              </w:r>
            </w:hyperlink>
            <w:r w:rsidR="00DB7A31" w:rsidRPr="00AB7F65">
              <w:rPr>
                <w:rFonts w:cs="Arial"/>
                <w:color w:val="000000" w:themeColor="text1"/>
                <w:sz w:val="22"/>
                <w:lang w:val="it-IT"/>
              </w:rPr>
              <w:t xml:space="preserve"> </w:t>
            </w:r>
          </w:p>
        </w:tc>
      </w:tr>
      <w:tr w:rsidR="003014BF" w14:paraId="734FFAE7" w14:textId="77777777" w:rsidTr="00A611CA">
        <w:tc>
          <w:tcPr>
            <w:tcW w:w="2268" w:type="dxa"/>
            <w:shd w:val="clear" w:color="auto" w:fill="auto"/>
          </w:tcPr>
          <w:p w14:paraId="60E4502A" w14:textId="7A35CCA6" w:rsidR="00A43813" w:rsidRPr="00AB7F65" w:rsidRDefault="00A43813">
            <w:pPr>
              <w:rPr>
                <w:i/>
                <w:sz w:val="22"/>
                <w:lang w:val="de-CH"/>
              </w:rPr>
            </w:pPr>
          </w:p>
          <w:p w14:paraId="31E43B18" w14:textId="0785C141" w:rsidR="00A43813" w:rsidRPr="00AB7F65" w:rsidRDefault="00A43813">
            <w:pPr>
              <w:rPr>
                <w:i/>
                <w:sz w:val="22"/>
                <w:lang w:val="de-CH"/>
              </w:rPr>
            </w:pPr>
          </w:p>
          <w:p w14:paraId="1BBBC769" w14:textId="42FE8B1F" w:rsidR="00A43813" w:rsidRPr="00AB7F65" w:rsidRDefault="00A43813">
            <w:pPr>
              <w:rPr>
                <w:i/>
                <w:sz w:val="22"/>
                <w:lang w:val="de-CH"/>
              </w:rPr>
            </w:pPr>
          </w:p>
          <w:p w14:paraId="0DDDC9C2" w14:textId="0A11EA6B" w:rsidR="00A12B7C" w:rsidRPr="00AB7F65" w:rsidRDefault="00A12B7C">
            <w:pPr>
              <w:rPr>
                <w:i/>
                <w:sz w:val="22"/>
                <w:lang w:val="de-CH"/>
              </w:rPr>
            </w:pPr>
          </w:p>
          <w:p w14:paraId="6071494E" w14:textId="477735A5" w:rsidR="003014BF" w:rsidRPr="00AB7F65" w:rsidRDefault="00CF1E36">
            <w:pPr>
              <w:rPr>
                <w:i/>
                <w:sz w:val="22"/>
              </w:rPr>
            </w:pPr>
            <w:r w:rsidRPr="00AB7F65">
              <w:rPr>
                <w:i/>
                <w:sz w:val="22"/>
              </w:rPr>
              <w:t>Pages</w:t>
            </w:r>
          </w:p>
        </w:tc>
        <w:tc>
          <w:tcPr>
            <w:tcW w:w="6629" w:type="dxa"/>
            <w:shd w:val="clear" w:color="auto" w:fill="auto"/>
          </w:tcPr>
          <w:p w14:paraId="4732D213" w14:textId="77777777" w:rsidR="00073420" w:rsidRPr="00AB7F65" w:rsidRDefault="00073420" w:rsidP="00073420">
            <w:pPr>
              <w:rPr>
                <w:sz w:val="22"/>
              </w:rPr>
            </w:pPr>
          </w:p>
          <w:p w14:paraId="03B1F3D4" w14:textId="73D69ACB" w:rsidR="007112C6" w:rsidRPr="00AB7F65" w:rsidRDefault="00A43813" w:rsidP="00A43813">
            <w:pPr>
              <w:rPr>
                <w:sz w:val="22"/>
              </w:rPr>
            </w:pPr>
            <w:r w:rsidRPr="00AB7F65">
              <w:rPr>
                <w:color w:val="000000" w:themeColor="text1"/>
                <w:sz w:val="22"/>
              </w:rPr>
              <w:t xml:space="preserve">More details: </w:t>
            </w:r>
            <w:hyperlink r:id="rId9" w:history="1">
              <w:r w:rsidR="00AE3B4D" w:rsidRPr="006949E6">
                <w:rPr>
                  <w:rStyle w:val="Hyperlink"/>
                  <w:sz w:val="22"/>
                </w:rPr>
                <w:t>www.pwc.com/projectblue</w:t>
              </w:r>
            </w:hyperlink>
            <w:r w:rsidR="00AB7F65" w:rsidRPr="00AB7F65">
              <w:rPr>
                <w:sz w:val="22"/>
              </w:rPr>
              <w:t xml:space="preserve"> </w:t>
            </w:r>
          </w:p>
          <w:p w14:paraId="5CE3C615" w14:textId="4B3E916E" w:rsidR="00A43813" w:rsidRPr="00AB7F65" w:rsidRDefault="00A43813" w:rsidP="00A43813">
            <w:pPr>
              <w:rPr>
                <w:color w:val="000000" w:themeColor="text1"/>
                <w:sz w:val="22"/>
              </w:rPr>
            </w:pPr>
            <w:r w:rsidRPr="00AB7F65">
              <w:rPr>
                <w:color w:val="000000" w:themeColor="text1"/>
                <w:sz w:val="22"/>
              </w:rPr>
              <w:t>Follow/retweet: @</w:t>
            </w:r>
            <w:r w:rsidR="00AE3B4D">
              <w:rPr>
                <w:color w:val="000000" w:themeColor="text1"/>
                <w:sz w:val="22"/>
              </w:rPr>
              <w:t>PwC</w:t>
            </w:r>
          </w:p>
          <w:p w14:paraId="29330B11" w14:textId="5E24B6E3" w:rsidR="00A43813" w:rsidRPr="00AB7F65" w:rsidRDefault="00A43813">
            <w:pPr>
              <w:rPr>
                <w:sz w:val="22"/>
                <w:lang w:val="en-US"/>
              </w:rPr>
            </w:pPr>
          </w:p>
          <w:p w14:paraId="263C532F" w14:textId="6E5E96F1" w:rsidR="003014BF" w:rsidRPr="00AB7F65" w:rsidRDefault="001E509F">
            <w:pPr>
              <w:rPr>
                <w:sz w:val="22"/>
              </w:rPr>
            </w:pPr>
            <w:r>
              <w:rPr>
                <w:sz w:val="22"/>
              </w:rPr>
              <w:t>4</w:t>
            </w:r>
          </w:p>
        </w:tc>
      </w:tr>
    </w:tbl>
    <w:p w14:paraId="26C9F69B" w14:textId="4176961F" w:rsidR="001550F4" w:rsidRDefault="001550F4" w:rsidP="001550F4">
      <w:pPr>
        <w:autoSpaceDE w:val="0"/>
        <w:autoSpaceDN w:val="0"/>
        <w:adjustRightInd w:val="0"/>
        <w:spacing w:line="240" w:lineRule="auto"/>
        <w:rPr>
          <w:rFonts w:cs="CharterITC-Regu"/>
          <w:b/>
          <w:color w:val="000000" w:themeColor="text1"/>
          <w:sz w:val="28"/>
          <w:szCs w:val="28"/>
          <w:lang w:val="en-US"/>
        </w:rPr>
      </w:pPr>
      <w:r>
        <w:rPr>
          <w:noProof/>
          <w:sz w:val="22"/>
          <w:lang w:val="en-US"/>
        </w:rPr>
        <mc:AlternateContent>
          <mc:Choice Requires="wps">
            <w:drawing>
              <wp:anchor distT="4294967295" distB="4294967295" distL="114300" distR="114300" simplePos="0" relativeHeight="251657728" behindDoc="0" locked="0" layoutInCell="1" allowOverlap="1" wp14:anchorId="3260218C" wp14:editId="1B13FD32">
                <wp:simplePos x="0" y="0"/>
                <wp:positionH relativeFrom="margin">
                  <wp:align>left</wp:align>
                </wp:positionH>
                <wp:positionV relativeFrom="page">
                  <wp:posOffset>4184765</wp:posOffset>
                </wp:positionV>
                <wp:extent cx="5779135" cy="0"/>
                <wp:effectExtent l="0" t="0" r="3111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9525">
                          <a:solidFill>
                            <a:srgbClr val="E36C0A"/>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42452" id="Line 3" o:spid="_x0000_s1026" style="position:absolute;z-index:251657728;visibility:visible;mso-wrap-style:square;mso-width-percent:0;mso-height-percent:0;mso-wrap-distance-left:9pt;mso-wrap-distance-top:-3e-5mm;mso-wrap-distance-right:9pt;mso-wrap-distance-bottom:-3e-5mm;mso-position-horizontal:left;mso-position-horizontal-relative:margin;mso-position-vertical:absolute;mso-position-vertical-relative:page;mso-width-percent:0;mso-height-percent:0;mso-width-relative:page;mso-height-relative:page" from="0,329.5pt" to="455.0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" strokecolor="#e36c0a">
                <w10:wrap anchorx="margin" anchory="page"/>
              </v:line>
            </w:pict>
          </mc:Fallback>
        </mc:AlternateContent>
      </w:r>
    </w:p>
    <w:p w14:paraId="2D0668DC" w14:textId="1F0D2FD2" w:rsidR="001550F4" w:rsidRDefault="001550F4" w:rsidP="009374C1">
      <w:pPr>
        <w:autoSpaceDE w:val="0"/>
        <w:autoSpaceDN w:val="0"/>
        <w:adjustRightInd w:val="0"/>
        <w:spacing w:line="240" w:lineRule="auto"/>
        <w:jc w:val="center"/>
        <w:rPr>
          <w:rFonts w:cs="CharterITC-Regu"/>
          <w:b/>
          <w:color w:val="000000" w:themeColor="text1"/>
          <w:sz w:val="28"/>
          <w:szCs w:val="28"/>
          <w:lang w:val="en-US"/>
        </w:rPr>
      </w:pPr>
    </w:p>
    <w:p w14:paraId="3CEBF816" w14:textId="31C11241" w:rsidR="004A77C1" w:rsidRPr="00AE3B4D" w:rsidRDefault="00AE3B4D" w:rsidP="00AE3B4D">
      <w:pPr>
        <w:pStyle w:val="BodyText"/>
        <w:jc w:val="center"/>
        <w:rPr>
          <w:b/>
          <w:sz w:val="24"/>
          <w:szCs w:val="24"/>
          <w:lang w:val="en-US"/>
        </w:rPr>
      </w:pPr>
      <w:r w:rsidRPr="00AE3B4D">
        <w:rPr>
          <w:b/>
          <w:sz w:val="24"/>
          <w:szCs w:val="24"/>
          <w:lang w:val="en-US"/>
        </w:rPr>
        <w:t>Emerging markets still deprived of fit-for-purpose financial systems</w:t>
      </w:r>
    </w:p>
    <w:p w14:paraId="5C5C1956" w14:textId="77777777" w:rsidR="00AE3B4D" w:rsidRPr="00AE3B4D" w:rsidRDefault="00AE3B4D" w:rsidP="00AE3B4D">
      <w:pPr>
        <w:pStyle w:val="BodyText"/>
        <w:rPr>
          <w:sz w:val="22"/>
          <w:lang w:val="en-US"/>
        </w:rPr>
      </w:pPr>
      <w:r w:rsidRPr="00AE3B4D">
        <w:rPr>
          <w:sz w:val="22"/>
          <w:lang w:val="en-US"/>
        </w:rPr>
        <w:t xml:space="preserve">The lack of an efficient and resilient financial system is still holding back inclusive and sustainable growth in emerging markets. Policymakers, regulators and financial services </w:t>
      </w:r>
      <w:proofErr w:type="spellStart"/>
      <w:r w:rsidRPr="00AE3B4D">
        <w:rPr>
          <w:sz w:val="22"/>
          <w:lang w:val="en-US"/>
        </w:rPr>
        <w:t>organisations</w:t>
      </w:r>
      <w:proofErr w:type="spellEnd"/>
      <w:r w:rsidRPr="00AE3B4D">
        <w:rPr>
          <w:sz w:val="22"/>
          <w:lang w:val="en-US"/>
        </w:rPr>
        <w:t xml:space="preserve"> should more actively shape a financial system that is fit for purpose.</w:t>
      </w:r>
    </w:p>
    <w:p w14:paraId="5444F0BA" w14:textId="233464A2" w:rsidR="00AE3B4D" w:rsidRPr="00AE3B4D" w:rsidRDefault="00AE3B4D" w:rsidP="00AE3B4D">
      <w:pPr>
        <w:pStyle w:val="BodyText"/>
        <w:rPr>
          <w:sz w:val="22"/>
          <w:lang w:val="en-US"/>
        </w:rPr>
      </w:pPr>
      <w:r w:rsidRPr="00AE3B4D">
        <w:rPr>
          <w:sz w:val="22"/>
          <w:lang w:val="en-US"/>
        </w:rPr>
        <w:t xml:space="preserve">These are the main </w:t>
      </w:r>
      <w:r w:rsidR="006357DF">
        <w:rPr>
          <w:sz w:val="22"/>
          <w:lang w:val="en-US"/>
        </w:rPr>
        <w:t>findings of</w:t>
      </w:r>
      <w:r w:rsidRPr="00AE3B4D">
        <w:rPr>
          <w:sz w:val="22"/>
          <w:lang w:val="en-US"/>
        </w:rPr>
        <w:t xml:space="preserve"> </w:t>
      </w:r>
      <w:r w:rsidR="006357DF">
        <w:rPr>
          <w:sz w:val="22"/>
          <w:lang w:val="en-US"/>
        </w:rPr>
        <w:t>a</w:t>
      </w:r>
      <w:r w:rsidR="006357DF" w:rsidRPr="00AE3B4D">
        <w:rPr>
          <w:sz w:val="22"/>
          <w:lang w:val="en-US"/>
        </w:rPr>
        <w:t xml:space="preserve"> </w:t>
      </w:r>
      <w:r w:rsidRPr="00AE3B4D">
        <w:rPr>
          <w:sz w:val="22"/>
          <w:lang w:val="en-US"/>
        </w:rPr>
        <w:t xml:space="preserve">new PwC Project Blue report </w:t>
      </w:r>
      <w:r w:rsidR="003A3A5F">
        <w:rPr>
          <w:sz w:val="22"/>
          <w:lang w:val="en-US"/>
        </w:rPr>
        <w:t>‘</w:t>
      </w:r>
      <w:r w:rsidRPr="002927B4">
        <w:rPr>
          <w:i/>
          <w:sz w:val="22"/>
          <w:lang w:val="en-US"/>
        </w:rPr>
        <w:t>Geared up for growth: Shaping a fit for purpose financial system</w:t>
      </w:r>
      <w:r w:rsidR="003A3A5F">
        <w:rPr>
          <w:sz w:val="22"/>
          <w:lang w:val="en-US"/>
        </w:rPr>
        <w:t>’</w:t>
      </w:r>
      <w:r w:rsidR="00D03811">
        <w:rPr>
          <w:sz w:val="22"/>
          <w:lang w:val="en-US"/>
        </w:rPr>
        <w:t>.</w:t>
      </w:r>
      <w:r w:rsidR="006357DF" w:rsidRPr="00AE3B4D">
        <w:rPr>
          <w:sz w:val="22"/>
          <w:lang w:val="en-US"/>
        </w:rPr>
        <w:t xml:space="preserve"> </w:t>
      </w:r>
      <w:r w:rsidRPr="00AE3B4D">
        <w:rPr>
          <w:sz w:val="22"/>
          <w:lang w:val="en-US"/>
        </w:rPr>
        <w:t>In this paper, PwC sets out what an efficient, resilient and inclusive financial system looks like across eight key dimensions</w:t>
      </w:r>
      <w:r w:rsidR="006357DF">
        <w:rPr>
          <w:sz w:val="22"/>
          <w:lang w:val="en-US"/>
        </w:rPr>
        <w:t>;</w:t>
      </w:r>
      <w:r w:rsidRPr="00AE3B4D">
        <w:rPr>
          <w:sz w:val="22"/>
          <w:lang w:val="en-US"/>
        </w:rPr>
        <w:t xml:space="preserve"> and how leading emerging markets </w:t>
      </w:r>
      <w:r w:rsidR="002927B4">
        <w:rPr>
          <w:sz w:val="22"/>
          <w:lang w:val="en-US"/>
        </w:rPr>
        <w:t>–</w:t>
      </w:r>
      <w:r w:rsidR="006357DF">
        <w:rPr>
          <w:sz w:val="22"/>
          <w:lang w:val="en-US"/>
        </w:rPr>
        <w:t xml:space="preserve"> </w:t>
      </w:r>
      <w:r w:rsidRPr="00AE3B4D">
        <w:rPr>
          <w:sz w:val="22"/>
          <w:lang w:val="en-US"/>
        </w:rPr>
        <w:t>Brazil, China, India, Indonesia, Mexico, Nigeria and South Africa</w:t>
      </w:r>
      <w:r w:rsidR="002927B4">
        <w:rPr>
          <w:sz w:val="22"/>
          <w:lang w:val="en-US"/>
        </w:rPr>
        <w:t xml:space="preserve"> –</w:t>
      </w:r>
      <w:r w:rsidRPr="00AE3B4D">
        <w:rPr>
          <w:sz w:val="22"/>
          <w:lang w:val="en-US"/>
        </w:rPr>
        <w:t xml:space="preserve"> rate against its ‘fit for purpose’ targets. The assessment highlights considerable room for further improvement in key areas, ranging from financial inclusion to pensions and protection.</w:t>
      </w:r>
    </w:p>
    <w:p w14:paraId="73D3EC67" w14:textId="2EA07511" w:rsidR="00AE3B4D" w:rsidRPr="00AE3B4D" w:rsidRDefault="00AE3B4D" w:rsidP="00AE3B4D">
      <w:pPr>
        <w:pStyle w:val="BodyText"/>
        <w:rPr>
          <w:sz w:val="22"/>
          <w:lang w:val="en-US"/>
        </w:rPr>
      </w:pPr>
      <w:r w:rsidRPr="00AE3B4D">
        <w:rPr>
          <w:sz w:val="22"/>
          <w:lang w:val="en-US"/>
        </w:rPr>
        <w:t xml:space="preserve">While growth in emerging markets continues to outstrip developed counterparts and hundreds of millions of people have been lifted out of poverty, developing a well-functioning financial system remains critical </w:t>
      </w:r>
      <w:r w:rsidR="003A3A5F">
        <w:rPr>
          <w:sz w:val="22"/>
          <w:lang w:val="en-US"/>
        </w:rPr>
        <w:t>to</w:t>
      </w:r>
      <w:r w:rsidR="003A3A5F" w:rsidRPr="00AE3B4D">
        <w:rPr>
          <w:sz w:val="22"/>
          <w:lang w:val="en-US"/>
        </w:rPr>
        <w:t xml:space="preserve"> </w:t>
      </w:r>
      <w:r w:rsidRPr="00AE3B4D">
        <w:rPr>
          <w:sz w:val="22"/>
          <w:lang w:val="en-US"/>
        </w:rPr>
        <w:t>tackling poverty and sustaining economic growth over the long</w:t>
      </w:r>
      <w:r w:rsidR="003A3A5F">
        <w:rPr>
          <w:sz w:val="22"/>
          <w:lang w:val="en-US"/>
        </w:rPr>
        <w:t xml:space="preserve"> </w:t>
      </w:r>
      <w:r w:rsidRPr="00AE3B4D">
        <w:rPr>
          <w:sz w:val="22"/>
          <w:lang w:val="en-US"/>
        </w:rPr>
        <w:t>term. Emerging markets need a robust and broad-based financial infrastructure to channel funds efficiently, draw people into the market economy and enable them to share in the benefits.</w:t>
      </w:r>
    </w:p>
    <w:p w14:paraId="24212DA5" w14:textId="77777777" w:rsidR="00AE3B4D" w:rsidRPr="00AE3B4D" w:rsidRDefault="00AE3B4D" w:rsidP="00AE3B4D">
      <w:pPr>
        <w:pStyle w:val="BodyText"/>
        <w:rPr>
          <w:b/>
          <w:sz w:val="22"/>
          <w:lang w:val="en-US"/>
        </w:rPr>
      </w:pPr>
      <w:r w:rsidRPr="00AE3B4D">
        <w:rPr>
          <w:b/>
          <w:sz w:val="22"/>
          <w:lang w:val="en-US"/>
        </w:rPr>
        <w:t>The good news for emerging markets</w:t>
      </w:r>
    </w:p>
    <w:p w14:paraId="27E0E118" w14:textId="654121D2" w:rsidR="00AE3B4D" w:rsidRPr="00AE3B4D" w:rsidRDefault="00AE3B4D" w:rsidP="00AE3B4D">
      <w:pPr>
        <w:pStyle w:val="BodyText"/>
        <w:rPr>
          <w:sz w:val="22"/>
          <w:lang w:val="en-US"/>
        </w:rPr>
      </w:pPr>
      <w:r w:rsidRPr="00AE3B4D">
        <w:rPr>
          <w:sz w:val="22"/>
          <w:lang w:val="en-US"/>
        </w:rPr>
        <w:t xml:space="preserve">In </w:t>
      </w:r>
      <w:r w:rsidR="005E1A2F">
        <w:rPr>
          <w:sz w:val="22"/>
          <w:lang w:val="en-US"/>
        </w:rPr>
        <w:t xml:space="preserve">the </w:t>
      </w:r>
      <w:r w:rsidRPr="00AE3B4D">
        <w:rPr>
          <w:sz w:val="22"/>
          <w:lang w:val="en-US"/>
        </w:rPr>
        <w:t>PwC research, all seven emerging markets perform well on private sector lending, which is known to drive growth. With the exception of Brazil, the banking spread (difference between bank lending and deposit rates) in the emerging markets is low, improving borrowers’ ability to service debt. Another key area in which most of the seven emerging markets do reasonably well is controlling the size of their banking system. Only the size of China’s banking sector – compared to its economy – could raise systemic concerns.</w:t>
      </w:r>
    </w:p>
    <w:p w14:paraId="79281A80" w14:textId="77777777" w:rsidR="00AE3B4D" w:rsidRPr="00AE3B4D" w:rsidRDefault="00AE3B4D" w:rsidP="00AE3B4D">
      <w:pPr>
        <w:pStyle w:val="BodyText"/>
        <w:rPr>
          <w:b/>
          <w:sz w:val="22"/>
          <w:lang w:val="en-US"/>
        </w:rPr>
      </w:pPr>
      <w:r w:rsidRPr="00AE3B4D">
        <w:rPr>
          <w:b/>
          <w:sz w:val="22"/>
          <w:lang w:val="en-US"/>
        </w:rPr>
        <w:t>South Africa: on the right track, but with a long way to go</w:t>
      </w:r>
    </w:p>
    <w:p w14:paraId="128D96F7" w14:textId="4B9CC73F" w:rsidR="00AE3B4D" w:rsidRPr="00AE3B4D" w:rsidRDefault="00AE3B4D" w:rsidP="00AE3B4D">
      <w:pPr>
        <w:pStyle w:val="BodyText"/>
        <w:rPr>
          <w:sz w:val="22"/>
          <w:lang w:val="en-US"/>
        </w:rPr>
      </w:pPr>
      <w:r w:rsidRPr="00AE3B4D">
        <w:rPr>
          <w:sz w:val="22"/>
          <w:lang w:val="en-US"/>
        </w:rPr>
        <w:t xml:space="preserve">Although poverty reduction has stalled in recent years and </w:t>
      </w:r>
      <w:r w:rsidR="006357DF">
        <w:rPr>
          <w:sz w:val="22"/>
          <w:lang w:val="en-US"/>
        </w:rPr>
        <w:t>it</w:t>
      </w:r>
      <w:r w:rsidRPr="00AE3B4D">
        <w:rPr>
          <w:sz w:val="22"/>
          <w:lang w:val="en-US"/>
        </w:rPr>
        <w:t xml:space="preserve"> has the worst income inequality of all seven emerging economies, </w:t>
      </w:r>
      <w:r w:rsidR="006357DF">
        <w:rPr>
          <w:sz w:val="22"/>
          <w:lang w:val="en-US"/>
        </w:rPr>
        <w:t>South Africa</w:t>
      </w:r>
      <w:r w:rsidR="006357DF" w:rsidRPr="00AE3B4D">
        <w:rPr>
          <w:sz w:val="22"/>
          <w:lang w:val="en-US"/>
        </w:rPr>
        <w:t xml:space="preserve"> </w:t>
      </w:r>
      <w:r w:rsidRPr="00AE3B4D">
        <w:rPr>
          <w:sz w:val="22"/>
          <w:lang w:val="en-US"/>
        </w:rPr>
        <w:t>is showing the most progress</w:t>
      </w:r>
      <w:r w:rsidR="005E1A2F">
        <w:rPr>
          <w:sz w:val="22"/>
          <w:lang w:val="en-US"/>
        </w:rPr>
        <w:t xml:space="preserve"> towards a fit-for-</w:t>
      </w:r>
      <w:r w:rsidRPr="00AE3B4D">
        <w:rPr>
          <w:sz w:val="22"/>
          <w:lang w:val="en-US"/>
        </w:rPr>
        <w:t>purpose financial system. Four of the eight key areas for a healthy financial system are already supporting inclusive and sustainable growth</w:t>
      </w:r>
      <w:r w:rsidR="002F583B">
        <w:rPr>
          <w:sz w:val="22"/>
          <w:lang w:val="en-US"/>
        </w:rPr>
        <w:t>, and while more work is needed –</w:t>
      </w:r>
      <w:r w:rsidRPr="00AE3B4D">
        <w:rPr>
          <w:sz w:val="22"/>
          <w:lang w:val="en-US"/>
        </w:rPr>
        <w:t xml:space="preserve"> </w:t>
      </w:r>
      <w:r w:rsidR="002F583B">
        <w:rPr>
          <w:sz w:val="22"/>
          <w:lang w:val="en-US"/>
        </w:rPr>
        <w:t xml:space="preserve">for </w:t>
      </w:r>
      <w:r w:rsidR="002F583B">
        <w:rPr>
          <w:sz w:val="22"/>
          <w:lang w:val="en-US"/>
        </w:rPr>
        <w:lastRenderedPageBreak/>
        <w:t xml:space="preserve">instance on the high levels of indebtedness – </w:t>
      </w:r>
      <w:r w:rsidRPr="00AE3B4D">
        <w:rPr>
          <w:sz w:val="22"/>
          <w:lang w:val="en-US"/>
        </w:rPr>
        <w:t>the country is moving in the right direction in the other four areas.</w:t>
      </w:r>
    </w:p>
    <w:p w14:paraId="5CE53BF3" w14:textId="77777777" w:rsidR="00AE3B4D" w:rsidRPr="00AE3B4D" w:rsidRDefault="00AE3B4D" w:rsidP="00AE3B4D">
      <w:pPr>
        <w:pStyle w:val="BodyText"/>
        <w:rPr>
          <w:b/>
          <w:sz w:val="22"/>
          <w:lang w:val="en-US"/>
        </w:rPr>
      </w:pPr>
      <w:r w:rsidRPr="00AE3B4D">
        <w:rPr>
          <w:b/>
          <w:sz w:val="22"/>
          <w:lang w:val="en-US"/>
        </w:rPr>
        <w:t>Nigeria: financial system significantly impeding growth</w:t>
      </w:r>
    </w:p>
    <w:p w14:paraId="6139B849" w14:textId="1A23EA00" w:rsidR="00AE3B4D" w:rsidRPr="00AE3B4D" w:rsidRDefault="00AE3B4D" w:rsidP="00AE3B4D">
      <w:pPr>
        <w:pStyle w:val="BodyText"/>
        <w:rPr>
          <w:sz w:val="22"/>
          <w:lang w:val="en-US"/>
        </w:rPr>
      </w:pPr>
      <w:r w:rsidRPr="00AE3B4D">
        <w:rPr>
          <w:sz w:val="22"/>
          <w:lang w:val="en-US"/>
        </w:rPr>
        <w:t>This can’t be said about the other African country in PwC’s assessment. Not only has Nigeria by far the highest percentage of its population living in poverty, its financial system is also showing the least progress of all seven emerging markets. In five of the eight key areas</w:t>
      </w:r>
      <w:r w:rsidR="006357DF">
        <w:rPr>
          <w:sz w:val="22"/>
          <w:lang w:val="en-US"/>
        </w:rPr>
        <w:t>,</w:t>
      </w:r>
      <w:r w:rsidRPr="00AE3B4D">
        <w:rPr>
          <w:sz w:val="22"/>
          <w:lang w:val="en-US"/>
        </w:rPr>
        <w:t xml:space="preserve"> Nigeria’s financial system scores significantly below PwC’s fit-for-purpose targets, </w:t>
      </w:r>
      <w:r w:rsidR="006357DF">
        <w:rPr>
          <w:sz w:val="22"/>
          <w:lang w:val="en-US"/>
        </w:rPr>
        <w:t>holding back</w:t>
      </w:r>
      <w:r w:rsidR="006357DF" w:rsidRPr="00AE3B4D">
        <w:rPr>
          <w:sz w:val="22"/>
          <w:lang w:val="en-US"/>
        </w:rPr>
        <w:t xml:space="preserve"> </w:t>
      </w:r>
      <w:r w:rsidRPr="00AE3B4D">
        <w:rPr>
          <w:sz w:val="22"/>
          <w:lang w:val="en-US"/>
        </w:rPr>
        <w:t xml:space="preserve">inclusive and sustainable growth. </w:t>
      </w:r>
      <w:r w:rsidR="006357DF">
        <w:rPr>
          <w:sz w:val="22"/>
          <w:lang w:val="en-US"/>
        </w:rPr>
        <w:t>However, t</w:t>
      </w:r>
      <w:r w:rsidR="006357DF" w:rsidRPr="00AE3B4D">
        <w:rPr>
          <w:sz w:val="22"/>
          <w:lang w:val="en-US"/>
        </w:rPr>
        <w:t xml:space="preserve">he </w:t>
      </w:r>
      <w:r w:rsidRPr="00AE3B4D">
        <w:rPr>
          <w:sz w:val="22"/>
          <w:lang w:val="en-US"/>
        </w:rPr>
        <w:t>success of Nigeria’s auto-enrolment pension model is a bright spot.</w:t>
      </w:r>
    </w:p>
    <w:p w14:paraId="7E5FAEA5" w14:textId="1745E318" w:rsidR="00AE3B4D" w:rsidRPr="00AE3B4D" w:rsidRDefault="00AE3B4D" w:rsidP="00AE3B4D">
      <w:pPr>
        <w:pStyle w:val="BodyText"/>
        <w:rPr>
          <w:b/>
          <w:sz w:val="22"/>
          <w:lang w:val="en-US"/>
        </w:rPr>
      </w:pPr>
      <w:r w:rsidRPr="00AE3B4D">
        <w:rPr>
          <w:b/>
          <w:sz w:val="22"/>
          <w:lang w:val="en-US"/>
        </w:rPr>
        <w:t xml:space="preserve">China and Indonesia underperforming </w:t>
      </w:r>
      <w:r w:rsidR="005E1A2F">
        <w:rPr>
          <w:b/>
          <w:sz w:val="22"/>
          <w:lang w:val="en-US"/>
        </w:rPr>
        <w:t xml:space="preserve">in </w:t>
      </w:r>
      <w:r w:rsidRPr="00AE3B4D">
        <w:rPr>
          <w:b/>
          <w:sz w:val="22"/>
          <w:lang w:val="en-US"/>
        </w:rPr>
        <w:t>number of key areas</w:t>
      </w:r>
    </w:p>
    <w:p w14:paraId="37BBDFE3" w14:textId="713D1B40" w:rsidR="00AE3B4D" w:rsidRPr="00AE3B4D" w:rsidRDefault="00AE3B4D" w:rsidP="00AE3B4D">
      <w:pPr>
        <w:pStyle w:val="BodyText"/>
        <w:rPr>
          <w:sz w:val="22"/>
          <w:lang w:val="en-US"/>
        </w:rPr>
      </w:pPr>
      <w:r w:rsidRPr="00AE3B4D">
        <w:rPr>
          <w:sz w:val="22"/>
          <w:lang w:val="en-US"/>
        </w:rPr>
        <w:t>Compared to the other emerging economies, China has the biggest difficulties with its pension asset management and the size of its banking system. China’s banks are facing a troubling collision of swelling balance sheets, high corporate debt levels and a rise in insolvency and default. Indonesia seems particularly off track when it comes to financial inclusion and a well-functioning housing sector.</w:t>
      </w:r>
    </w:p>
    <w:p w14:paraId="3D88C954" w14:textId="77777777" w:rsidR="00AE3B4D" w:rsidRPr="00AE3B4D" w:rsidRDefault="00AE3B4D" w:rsidP="00AE3B4D">
      <w:pPr>
        <w:pStyle w:val="BodyText"/>
        <w:rPr>
          <w:rFonts w:ascii="CharterITC-Regu" w:hAnsi="CharterITC-Regu" w:cs="CharterITC-Regu"/>
          <w:b/>
          <w:color w:val="FFFFFF"/>
          <w:sz w:val="22"/>
          <w:lang w:val="en-US"/>
        </w:rPr>
      </w:pPr>
      <w:r w:rsidRPr="00AE3B4D">
        <w:rPr>
          <w:b/>
          <w:sz w:val="22"/>
          <w:lang w:val="en-US"/>
        </w:rPr>
        <w:t>India: financial system showing mixed signs of progress</w:t>
      </w:r>
      <w:r w:rsidRPr="00AE3B4D">
        <w:rPr>
          <w:rFonts w:ascii="CharterITC-Regu" w:hAnsi="CharterITC-Regu" w:cs="CharterITC-Regu"/>
          <w:b/>
          <w:color w:val="FFFFFF"/>
          <w:sz w:val="22"/>
          <w:lang w:val="en-US"/>
        </w:rPr>
        <w:t xml:space="preserve"> </w:t>
      </w:r>
    </w:p>
    <w:p w14:paraId="43A06864" w14:textId="731176A6" w:rsidR="00AE3B4D" w:rsidRPr="00AE3B4D" w:rsidRDefault="00AE3B4D" w:rsidP="00AE3B4D">
      <w:pPr>
        <w:pStyle w:val="BodyText"/>
        <w:rPr>
          <w:sz w:val="22"/>
          <w:lang w:val="en-US"/>
        </w:rPr>
      </w:pPr>
      <w:r w:rsidRPr="00AE3B4D">
        <w:rPr>
          <w:sz w:val="22"/>
          <w:lang w:val="en-US"/>
        </w:rPr>
        <w:t xml:space="preserve">Strong innovation coupled with regulatory support is proving to be a boon for financial inclusion in India, </w:t>
      </w:r>
      <w:r w:rsidR="006357DF">
        <w:rPr>
          <w:sz w:val="22"/>
          <w:lang w:val="en-US"/>
        </w:rPr>
        <w:t>with</w:t>
      </w:r>
      <w:r w:rsidR="006357DF" w:rsidRPr="00AE3B4D">
        <w:rPr>
          <w:sz w:val="22"/>
          <w:lang w:val="en-US"/>
        </w:rPr>
        <w:t xml:space="preserve"> </w:t>
      </w:r>
      <w:r w:rsidRPr="00AE3B4D">
        <w:rPr>
          <w:sz w:val="22"/>
          <w:lang w:val="en-US"/>
        </w:rPr>
        <w:t xml:space="preserve">the Indian payments industry </w:t>
      </w:r>
      <w:r w:rsidR="006357DF" w:rsidRPr="00AE3B4D">
        <w:rPr>
          <w:sz w:val="22"/>
          <w:lang w:val="en-US"/>
        </w:rPr>
        <w:t>stand</w:t>
      </w:r>
      <w:r w:rsidR="006357DF">
        <w:rPr>
          <w:sz w:val="22"/>
          <w:lang w:val="en-US"/>
        </w:rPr>
        <w:t>ing</w:t>
      </w:r>
      <w:r w:rsidR="006357DF" w:rsidRPr="00AE3B4D">
        <w:rPr>
          <w:sz w:val="22"/>
          <w:lang w:val="en-US"/>
        </w:rPr>
        <w:t xml:space="preserve"> </w:t>
      </w:r>
      <w:r w:rsidRPr="00AE3B4D">
        <w:rPr>
          <w:sz w:val="22"/>
          <w:lang w:val="en-US"/>
        </w:rPr>
        <w:t>out from its emerging market counterparts by driving above-average growth in non-cash payments. However, the country’s pension asset management and life insurance penetration are both significantly below healthy targets.</w:t>
      </w:r>
    </w:p>
    <w:p w14:paraId="7BD1AC1A" w14:textId="33682B12" w:rsidR="00AE3B4D" w:rsidRPr="00AE3B4D" w:rsidRDefault="00AE3B4D" w:rsidP="00AE3B4D">
      <w:pPr>
        <w:pStyle w:val="BodyText"/>
        <w:rPr>
          <w:b/>
          <w:sz w:val="22"/>
          <w:lang w:val="en-US"/>
        </w:rPr>
      </w:pPr>
      <w:r w:rsidRPr="00AE3B4D">
        <w:rPr>
          <w:b/>
          <w:sz w:val="22"/>
          <w:lang w:val="en-US"/>
        </w:rPr>
        <w:t xml:space="preserve">Brazil and Mexico </w:t>
      </w:r>
      <w:r w:rsidR="005E1A2F">
        <w:rPr>
          <w:b/>
          <w:sz w:val="22"/>
          <w:lang w:val="en-US"/>
        </w:rPr>
        <w:t>moving in right direction with e-payments</w:t>
      </w:r>
    </w:p>
    <w:p w14:paraId="35C4513D" w14:textId="613A6344" w:rsidR="00AE3B4D" w:rsidRPr="00AE3B4D" w:rsidRDefault="00AE3B4D" w:rsidP="00AE3B4D">
      <w:pPr>
        <w:pStyle w:val="BodyText"/>
        <w:rPr>
          <w:sz w:val="22"/>
          <w:lang w:val="en-US"/>
        </w:rPr>
      </w:pPr>
      <w:r w:rsidRPr="00AE3B4D">
        <w:rPr>
          <w:sz w:val="22"/>
          <w:lang w:val="en-US"/>
        </w:rPr>
        <w:t>Brazil’s household debt and comparatively high banking spread make its financial system vulnerable. But policymakers are actively working to reduce its banking spread</w:t>
      </w:r>
      <w:r w:rsidR="006357DF">
        <w:rPr>
          <w:sz w:val="22"/>
          <w:lang w:val="en-US"/>
        </w:rPr>
        <w:t>.</w:t>
      </w:r>
      <w:r w:rsidRPr="00AE3B4D">
        <w:rPr>
          <w:sz w:val="22"/>
          <w:lang w:val="en-US"/>
        </w:rPr>
        <w:t xml:space="preserve"> </w:t>
      </w:r>
      <w:r w:rsidR="006357DF">
        <w:rPr>
          <w:sz w:val="22"/>
          <w:lang w:val="en-US"/>
        </w:rPr>
        <w:t>A</w:t>
      </w:r>
      <w:r w:rsidRPr="00AE3B4D">
        <w:rPr>
          <w:sz w:val="22"/>
          <w:lang w:val="en-US"/>
        </w:rPr>
        <w:t>nother positive sign is the country’s use of electronic payments, opening up access to financial services for under</w:t>
      </w:r>
      <w:r w:rsidR="006357DF">
        <w:rPr>
          <w:sz w:val="22"/>
          <w:lang w:val="en-US"/>
        </w:rPr>
        <w:t>-</w:t>
      </w:r>
      <w:r w:rsidRPr="00AE3B4D">
        <w:rPr>
          <w:sz w:val="22"/>
          <w:lang w:val="en-US"/>
        </w:rPr>
        <w:t xml:space="preserve">served communities. Mexico’s banking spread is already low, while it’s also </w:t>
      </w:r>
      <w:r w:rsidR="006357DF">
        <w:rPr>
          <w:sz w:val="22"/>
          <w:lang w:val="en-US"/>
        </w:rPr>
        <w:t>actively</w:t>
      </w:r>
      <w:r w:rsidRPr="00AE3B4D">
        <w:rPr>
          <w:sz w:val="22"/>
          <w:lang w:val="en-US"/>
        </w:rPr>
        <w:t xml:space="preserve"> promoting e-payments to accelerate economic development. </w:t>
      </w:r>
      <w:r w:rsidR="00F0537B">
        <w:rPr>
          <w:sz w:val="22"/>
          <w:lang w:val="en-US"/>
        </w:rPr>
        <w:t>However, it</w:t>
      </w:r>
      <w:r w:rsidRPr="00AE3B4D">
        <w:rPr>
          <w:sz w:val="22"/>
          <w:lang w:val="en-US"/>
        </w:rPr>
        <w:t xml:space="preserve"> has more work to do on financial inclusion and life insurance penetration.</w:t>
      </w:r>
    </w:p>
    <w:p w14:paraId="476D6B4C" w14:textId="29721595" w:rsidR="00AE3B4D" w:rsidRPr="00AE3B4D" w:rsidRDefault="00AE3B4D" w:rsidP="00AE3B4D">
      <w:pPr>
        <w:pStyle w:val="BodyText"/>
        <w:rPr>
          <w:sz w:val="22"/>
          <w:lang w:val="en-US"/>
        </w:rPr>
      </w:pPr>
      <w:r w:rsidRPr="00AE3B4D">
        <w:rPr>
          <w:sz w:val="22"/>
          <w:lang w:val="en-US"/>
        </w:rPr>
        <w:t xml:space="preserve">Hugh Harley, Global Emerging Markets FS Leader, believes policymakers, regulators and financial services </w:t>
      </w:r>
      <w:proofErr w:type="spellStart"/>
      <w:r w:rsidRPr="00AE3B4D">
        <w:rPr>
          <w:sz w:val="22"/>
          <w:lang w:val="en-US"/>
        </w:rPr>
        <w:t>organisations</w:t>
      </w:r>
      <w:proofErr w:type="spellEnd"/>
      <w:r w:rsidRPr="00AE3B4D">
        <w:rPr>
          <w:sz w:val="22"/>
          <w:lang w:val="en-US"/>
        </w:rPr>
        <w:t xml:space="preserve"> should </w:t>
      </w:r>
      <w:r w:rsidR="00F0537B">
        <w:rPr>
          <w:sz w:val="22"/>
          <w:lang w:val="en-US"/>
        </w:rPr>
        <w:t>be more active in shaping</w:t>
      </w:r>
      <w:r w:rsidRPr="00AE3B4D">
        <w:rPr>
          <w:sz w:val="22"/>
          <w:lang w:val="en-US"/>
        </w:rPr>
        <w:t xml:space="preserve"> a fit for purpose financial system:</w:t>
      </w:r>
    </w:p>
    <w:p w14:paraId="4BBA3027" w14:textId="77777777" w:rsidR="00AE3B4D" w:rsidRPr="00AE3B4D" w:rsidRDefault="00AE3B4D" w:rsidP="00AE3B4D">
      <w:pPr>
        <w:pStyle w:val="BodyText"/>
        <w:ind w:left="720"/>
        <w:rPr>
          <w:sz w:val="22"/>
          <w:lang w:val="en-US"/>
        </w:rPr>
      </w:pPr>
      <w:r w:rsidRPr="00AE3B4D">
        <w:rPr>
          <w:sz w:val="22"/>
          <w:lang w:val="en-US"/>
        </w:rPr>
        <w:t xml:space="preserve">“A fit for purpose financial system fosters inclusion, investment, access to credit and support for people when they retire, while promoting efficiency and protecting against systemic risks. The development of this financial system isn’t organic or passive. You shape it. Strong regulation and enforcement are essential for financial systems to develop, so regulators across different market sectors should get on the front foot and work together.” </w:t>
      </w:r>
    </w:p>
    <w:p w14:paraId="40D63770" w14:textId="5F7EC089" w:rsidR="00AE3B4D" w:rsidRPr="00AE3B4D" w:rsidRDefault="00C463D7" w:rsidP="00AE3B4D">
      <w:pPr>
        <w:pStyle w:val="BodyText"/>
        <w:rPr>
          <w:sz w:val="22"/>
          <w:lang w:val="en-US"/>
        </w:rPr>
      </w:pPr>
      <w:r>
        <w:rPr>
          <w:sz w:val="22"/>
          <w:lang w:val="en-US"/>
        </w:rPr>
        <w:t xml:space="preserve">Andrew </w:t>
      </w:r>
      <w:proofErr w:type="spellStart"/>
      <w:r>
        <w:rPr>
          <w:sz w:val="22"/>
          <w:lang w:val="en-US"/>
        </w:rPr>
        <w:t>Nevin</w:t>
      </w:r>
      <w:proofErr w:type="spellEnd"/>
      <w:r w:rsidRPr="0068466B">
        <w:rPr>
          <w:sz w:val="22"/>
          <w:lang w:val="en-US"/>
        </w:rPr>
        <w:t xml:space="preserve">, </w:t>
      </w:r>
      <w:r w:rsidR="0068466B" w:rsidRPr="0068466B">
        <w:rPr>
          <w:rFonts w:cs="Georgia"/>
          <w:color w:val="000000"/>
          <w:sz w:val="22"/>
          <w:lang w:val="en-US" w:eastAsia="en-GB"/>
        </w:rPr>
        <w:t>FS Advi</w:t>
      </w:r>
      <w:r w:rsidR="0068466B">
        <w:rPr>
          <w:rFonts w:cs="Georgia"/>
          <w:color w:val="000000"/>
          <w:sz w:val="22"/>
          <w:lang w:val="en-US" w:eastAsia="en-GB"/>
        </w:rPr>
        <w:t xml:space="preserve">sory Leader and Chief Economist at </w:t>
      </w:r>
      <w:r w:rsidR="0068466B" w:rsidRPr="0068466B">
        <w:rPr>
          <w:rFonts w:cs="Georgia"/>
          <w:color w:val="000000"/>
          <w:sz w:val="22"/>
          <w:lang w:val="en-US" w:eastAsia="en-GB"/>
        </w:rPr>
        <w:t>PwC Nigeria</w:t>
      </w:r>
      <w:r w:rsidR="0068466B" w:rsidRPr="0068466B">
        <w:rPr>
          <w:sz w:val="22"/>
          <w:lang w:val="en-US"/>
        </w:rPr>
        <w:t xml:space="preserve"> </w:t>
      </w:r>
      <w:r>
        <w:rPr>
          <w:sz w:val="22"/>
          <w:lang w:val="en-US"/>
        </w:rPr>
        <w:t>and</w:t>
      </w:r>
      <w:r w:rsidR="0068466B">
        <w:rPr>
          <w:sz w:val="22"/>
          <w:lang w:val="en-US"/>
        </w:rPr>
        <w:t xml:space="preserve"> Project Blue Global L</w:t>
      </w:r>
      <w:r>
        <w:rPr>
          <w:sz w:val="22"/>
          <w:lang w:val="en-US"/>
        </w:rPr>
        <w:t>eader,</w:t>
      </w:r>
      <w:r w:rsidR="00AE3B4D" w:rsidRPr="00AE3B4D">
        <w:rPr>
          <w:sz w:val="22"/>
          <w:lang w:val="en-US"/>
        </w:rPr>
        <w:t xml:space="preserve"> stresses that emerging markets should </w:t>
      </w:r>
      <w:r w:rsidR="00AE3B4D">
        <w:rPr>
          <w:sz w:val="22"/>
          <w:lang w:val="en-US"/>
        </w:rPr>
        <w:t xml:space="preserve">try and </w:t>
      </w:r>
      <w:r w:rsidR="00AE3B4D" w:rsidRPr="00AE3B4D">
        <w:rPr>
          <w:sz w:val="22"/>
          <w:lang w:val="en-US"/>
        </w:rPr>
        <w:t>learn from their peers:</w:t>
      </w:r>
    </w:p>
    <w:p w14:paraId="4961AC7F" w14:textId="00CA054F" w:rsidR="004A77C1" w:rsidRPr="00AE3B4D" w:rsidRDefault="00AE3B4D" w:rsidP="00AE3B4D">
      <w:pPr>
        <w:pStyle w:val="BodyText"/>
        <w:ind w:left="720"/>
        <w:rPr>
          <w:sz w:val="22"/>
          <w:lang w:val="en-US"/>
        </w:rPr>
      </w:pPr>
      <w:r w:rsidRPr="00AE3B4D">
        <w:rPr>
          <w:sz w:val="22"/>
          <w:lang w:val="en-US"/>
        </w:rPr>
        <w:lastRenderedPageBreak/>
        <w:t>“Our analysis clearly shows that some markets are ahead of others in different dimensions. Ask yourself the question</w:t>
      </w:r>
      <w:r w:rsidR="00F0537B">
        <w:rPr>
          <w:sz w:val="22"/>
          <w:lang w:val="en-US"/>
        </w:rPr>
        <w:t>:</w:t>
      </w:r>
      <w:r w:rsidRPr="00AE3B4D">
        <w:rPr>
          <w:sz w:val="22"/>
          <w:lang w:val="en-US"/>
        </w:rPr>
        <w:t xml:space="preserve"> what can </w:t>
      </w:r>
      <w:r w:rsidR="00D03811">
        <w:rPr>
          <w:sz w:val="22"/>
          <w:lang w:val="en-US"/>
        </w:rPr>
        <w:t xml:space="preserve">we </w:t>
      </w:r>
      <w:r w:rsidRPr="00AE3B4D">
        <w:rPr>
          <w:sz w:val="22"/>
          <w:lang w:val="en-US"/>
        </w:rPr>
        <w:t>learn from each other’s experience</w:t>
      </w:r>
      <w:r w:rsidR="00F0537B">
        <w:rPr>
          <w:sz w:val="22"/>
          <w:lang w:val="en-US"/>
        </w:rPr>
        <w:t>?</w:t>
      </w:r>
      <w:r w:rsidRPr="00AE3B4D">
        <w:rPr>
          <w:sz w:val="22"/>
          <w:lang w:val="en-US"/>
        </w:rPr>
        <w:t xml:space="preserve"> Specifically financial services </w:t>
      </w:r>
      <w:proofErr w:type="spellStart"/>
      <w:r w:rsidRPr="00AE3B4D">
        <w:rPr>
          <w:sz w:val="22"/>
          <w:lang w:val="en-US"/>
        </w:rPr>
        <w:t>organisations</w:t>
      </w:r>
      <w:proofErr w:type="spellEnd"/>
      <w:r w:rsidRPr="00AE3B4D">
        <w:rPr>
          <w:sz w:val="22"/>
          <w:lang w:val="en-US"/>
        </w:rPr>
        <w:t xml:space="preserve"> should </w:t>
      </w:r>
      <w:proofErr w:type="spellStart"/>
      <w:r w:rsidRPr="00AE3B4D">
        <w:rPr>
          <w:sz w:val="22"/>
          <w:lang w:val="en-US"/>
        </w:rPr>
        <w:t>realise</w:t>
      </w:r>
      <w:proofErr w:type="spellEnd"/>
      <w:r w:rsidRPr="00AE3B4D">
        <w:rPr>
          <w:sz w:val="22"/>
          <w:lang w:val="en-US"/>
        </w:rPr>
        <w:t xml:space="preserve"> that many of the ground-breaking innovations in FS are being spearheaded in Asia and other emerging markets. Without ageing legacy systems to hold them back, they have clean sheets upon which to harness the latest developments in technology and develop their own distinctive business models.”</w:t>
      </w:r>
    </w:p>
    <w:p w14:paraId="284F09A1" w14:textId="5B0BAEE4" w:rsidR="00073420" w:rsidRPr="004C456F" w:rsidRDefault="00EB59E8" w:rsidP="009E0240">
      <w:pPr>
        <w:pStyle w:val="ReleaseBodyText"/>
        <w:jc w:val="right"/>
        <w:rPr>
          <w:rFonts w:ascii="Georgia" w:hAnsi="Georgia" w:cs="Georgia"/>
          <w:b/>
          <w:bCs/>
          <w:color w:val="000000"/>
          <w:sz w:val="22"/>
          <w:lang w:eastAsia="en-GB"/>
        </w:rPr>
      </w:pPr>
      <w:r w:rsidRPr="00737E70">
        <w:rPr>
          <w:rFonts w:ascii="Georgia" w:hAnsi="Georgia" w:cs="Georgia"/>
          <w:b/>
          <w:bCs/>
          <w:color w:val="000000"/>
          <w:sz w:val="22"/>
          <w:lang w:eastAsia="en-GB"/>
        </w:rPr>
        <w:t>Ends</w:t>
      </w:r>
    </w:p>
    <w:p w14:paraId="60ADEDE3" w14:textId="77777777" w:rsidR="005C4682" w:rsidRDefault="005C4682">
      <w:pPr>
        <w:tabs>
          <w:tab w:val="left" w:pos="2043"/>
        </w:tabs>
        <w:autoSpaceDE w:val="0"/>
        <w:autoSpaceDN w:val="0"/>
        <w:adjustRightInd w:val="0"/>
        <w:spacing w:line="240" w:lineRule="auto"/>
        <w:rPr>
          <w:b/>
          <w:sz w:val="22"/>
          <w:lang w:val="en-US"/>
        </w:rPr>
      </w:pPr>
    </w:p>
    <w:p w14:paraId="1EB1C485" w14:textId="3512B194" w:rsidR="00AE3B4D" w:rsidRDefault="00EB59E8" w:rsidP="00AE3B4D">
      <w:pPr>
        <w:tabs>
          <w:tab w:val="left" w:pos="2043"/>
        </w:tabs>
        <w:autoSpaceDE w:val="0"/>
        <w:autoSpaceDN w:val="0"/>
        <w:adjustRightInd w:val="0"/>
        <w:spacing w:line="240" w:lineRule="auto"/>
        <w:rPr>
          <w:b/>
          <w:sz w:val="22"/>
          <w:lang w:val="en-US"/>
        </w:rPr>
      </w:pPr>
      <w:r w:rsidRPr="00786237">
        <w:rPr>
          <w:b/>
          <w:sz w:val="22"/>
          <w:lang w:val="en-US"/>
        </w:rPr>
        <w:t>Note</w:t>
      </w:r>
      <w:r w:rsidRPr="005C4682">
        <w:rPr>
          <w:b/>
          <w:strike/>
          <w:sz w:val="22"/>
          <w:lang w:val="en-US"/>
        </w:rPr>
        <w:t>s</w:t>
      </w:r>
      <w:r w:rsidR="00E35B73" w:rsidRPr="00786237">
        <w:rPr>
          <w:b/>
          <w:sz w:val="22"/>
          <w:lang w:val="en-US"/>
        </w:rPr>
        <w:t xml:space="preserve"> to editor:</w:t>
      </w:r>
    </w:p>
    <w:p w14:paraId="29335A87" w14:textId="77777777" w:rsidR="00AE3B4D" w:rsidRPr="00AE3B4D" w:rsidRDefault="00AE3B4D" w:rsidP="00AE3B4D">
      <w:pPr>
        <w:tabs>
          <w:tab w:val="left" w:pos="2043"/>
        </w:tabs>
        <w:autoSpaceDE w:val="0"/>
        <w:autoSpaceDN w:val="0"/>
        <w:adjustRightInd w:val="0"/>
        <w:spacing w:line="240" w:lineRule="auto"/>
        <w:rPr>
          <w:b/>
          <w:sz w:val="22"/>
          <w:lang w:val="en-US"/>
        </w:rPr>
      </w:pPr>
    </w:p>
    <w:p w14:paraId="0197D7FA" w14:textId="77777777" w:rsidR="00AE3B4D" w:rsidRPr="00AE3B4D" w:rsidRDefault="00AE3B4D" w:rsidP="00AE3B4D">
      <w:pPr>
        <w:pStyle w:val="BodyText"/>
        <w:rPr>
          <w:b/>
          <w:sz w:val="22"/>
          <w:lang w:val="en-US"/>
        </w:rPr>
      </w:pPr>
      <w:r w:rsidRPr="00AE3B4D">
        <w:rPr>
          <w:b/>
          <w:sz w:val="22"/>
          <w:lang w:val="en-US"/>
        </w:rPr>
        <w:t>About the report</w:t>
      </w:r>
    </w:p>
    <w:p w14:paraId="39455615" w14:textId="77777777" w:rsidR="00AE3B4D" w:rsidRPr="00AE3B4D" w:rsidRDefault="00AE3B4D" w:rsidP="00AE3B4D">
      <w:pPr>
        <w:pStyle w:val="BodyText"/>
        <w:rPr>
          <w:sz w:val="22"/>
          <w:lang w:val="en-US"/>
        </w:rPr>
      </w:pPr>
      <w:r w:rsidRPr="00AE3B4D">
        <w:rPr>
          <w:sz w:val="22"/>
          <w:lang w:val="en-US"/>
        </w:rPr>
        <w:t xml:space="preserve">Drawing on the research, analysis and experience of PwC experts from around the world, the report seeks to define the end goal of a fit for purpose financial system and set targets against which current state and future progress can be gauged in seven leading emerging markets. Rather than being scientific, the targets within this framework are a reasonable assessment based on practical experience of what supports inclusive and sustainable growth in different markets. </w:t>
      </w:r>
    </w:p>
    <w:p w14:paraId="377D92C2" w14:textId="791F666D" w:rsidR="00AE3B4D" w:rsidRPr="001E509F" w:rsidRDefault="00AE3B4D" w:rsidP="00AE3B4D">
      <w:pPr>
        <w:pStyle w:val="BodyText"/>
        <w:rPr>
          <w:sz w:val="22"/>
          <w:lang w:val="en-US"/>
        </w:rPr>
      </w:pPr>
      <w:r w:rsidRPr="00AE3B4D">
        <w:rPr>
          <w:sz w:val="22"/>
          <w:lang w:val="en-US"/>
        </w:rPr>
        <w:t xml:space="preserve">The fit for purpose framework aims to help finance ministries and regulators actively shape financial system development by identifying gaps, defining priorities and learning from the </w:t>
      </w:r>
      <w:r w:rsidRPr="001E509F">
        <w:rPr>
          <w:sz w:val="22"/>
          <w:lang w:val="en-US"/>
        </w:rPr>
        <w:t xml:space="preserve">experience of counterparts in other markets. It can also help to identify commercial opportunities for both domestic and international groups, along with </w:t>
      </w:r>
      <w:proofErr w:type="spellStart"/>
      <w:r w:rsidRPr="001E509F">
        <w:rPr>
          <w:sz w:val="22"/>
          <w:lang w:val="en-US"/>
        </w:rPr>
        <w:t>FinTech</w:t>
      </w:r>
      <w:proofErr w:type="spellEnd"/>
      <w:r w:rsidRPr="001E509F">
        <w:rPr>
          <w:sz w:val="22"/>
          <w:lang w:val="en-US"/>
        </w:rPr>
        <w:t xml:space="preserve"> innovators looking to bridge gaps and accelerate development.</w:t>
      </w:r>
    </w:p>
    <w:p w14:paraId="1EFABBDC" w14:textId="6CF824B0" w:rsidR="001E509F" w:rsidRPr="001E509F" w:rsidRDefault="001E509F" w:rsidP="001E509F">
      <w:pPr>
        <w:pStyle w:val="BodyText"/>
        <w:rPr>
          <w:sz w:val="22"/>
          <w:lang w:val="en-US"/>
        </w:rPr>
      </w:pPr>
      <w:r w:rsidRPr="001E509F">
        <w:rPr>
          <w:sz w:val="22"/>
          <w:lang w:val="en-US"/>
        </w:rPr>
        <w:t>Th</w:t>
      </w:r>
      <w:r>
        <w:rPr>
          <w:sz w:val="22"/>
          <w:lang w:val="en-US"/>
        </w:rPr>
        <w:t>e eight dimensions of a fit-for-</w:t>
      </w:r>
      <w:r w:rsidRPr="001E509F">
        <w:rPr>
          <w:sz w:val="22"/>
          <w:lang w:val="en-US"/>
        </w:rPr>
        <w:t>purpose financial system:</w:t>
      </w:r>
    </w:p>
    <w:p w14:paraId="1405B154" w14:textId="68432B75" w:rsidR="001E509F" w:rsidRPr="001E509F" w:rsidRDefault="001E509F" w:rsidP="001E509F">
      <w:pPr>
        <w:pStyle w:val="BodyText"/>
        <w:numPr>
          <w:ilvl w:val="0"/>
          <w:numId w:val="48"/>
        </w:numPr>
        <w:rPr>
          <w:sz w:val="22"/>
          <w:lang w:val="en-US"/>
        </w:rPr>
      </w:pPr>
      <w:r w:rsidRPr="001E509F">
        <w:rPr>
          <w:sz w:val="22"/>
          <w:lang w:val="en-US"/>
        </w:rPr>
        <w:t>Size of banking system: a banking sector should not be too large compared to the economy</w:t>
      </w:r>
    </w:p>
    <w:p w14:paraId="3970A527" w14:textId="00FD3534" w:rsidR="001E509F" w:rsidRPr="001E509F" w:rsidRDefault="001E509F" w:rsidP="001E509F">
      <w:pPr>
        <w:pStyle w:val="BodyText"/>
        <w:numPr>
          <w:ilvl w:val="0"/>
          <w:numId w:val="48"/>
        </w:numPr>
        <w:rPr>
          <w:sz w:val="22"/>
          <w:lang w:val="en-US"/>
        </w:rPr>
      </w:pPr>
      <w:r w:rsidRPr="001E509F">
        <w:rPr>
          <w:sz w:val="22"/>
          <w:lang w:val="en-US"/>
        </w:rPr>
        <w:t>Pension asset management: a higher ratio lowers the dependency of the ageing population on the working population</w:t>
      </w:r>
    </w:p>
    <w:p w14:paraId="317CA781" w14:textId="3F0AC0FE" w:rsidR="001E509F" w:rsidRPr="001E509F" w:rsidRDefault="001E509F" w:rsidP="001E509F">
      <w:pPr>
        <w:pStyle w:val="BodyText"/>
        <w:numPr>
          <w:ilvl w:val="0"/>
          <w:numId w:val="48"/>
        </w:numPr>
        <w:rPr>
          <w:sz w:val="22"/>
          <w:lang w:val="en-US"/>
        </w:rPr>
      </w:pPr>
      <w:r w:rsidRPr="001E509F">
        <w:rPr>
          <w:sz w:val="22"/>
          <w:lang w:val="en-US"/>
        </w:rPr>
        <w:t>Mortgage book: a well-functioning housing sector improves personal consumption and is critical to the overall health of the economy</w:t>
      </w:r>
    </w:p>
    <w:p w14:paraId="1632CDA4" w14:textId="3B337408" w:rsidR="001E509F" w:rsidRPr="001E509F" w:rsidRDefault="001E509F" w:rsidP="001E509F">
      <w:pPr>
        <w:pStyle w:val="BodyText"/>
        <w:numPr>
          <w:ilvl w:val="0"/>
          <w:numId w:val="48"/>
        </w:numPr>
        <w:rPr>
          <w:sz w:val="22"/>
          <w:lang w:val="en-US"/>
        </w:rPr>
      </w:pPr>
      <w:r w:rsidRPr="001E509F">
        <w:rPr>
          <w:sz w:val="22"/>
          <w:lang w:val="en-US"/>
        </w:rPr>
        <w:t>Banking spread: a lower price of banking improves borrowers’ ability to service debt</w:t>
      </w:r>
    </w:p>
    <w:p w14:paraId="3607D4E3" w14:textId="0A914FFE" w:rsidR="001E509F" w:rsidRPr="001E509F" w:rsidRDefault="001E509F" w:rsidP="001E509F">
      <w:pPr>
        <w:pStyle w:val="BodyText"/>
        <w:numPr>
          <w:ilvl w:val="0"/>
          <w:numId w:val="48"/>
        </w:numPr>
        <w:rPr>
          <w:sz w:val="22"/>
          <w:lang w:val="en-US"/>
        </w:rPr>
      </w:pPr>
      <w:r w:rsidRPr="001E509F">
        <w:rPr>
          <w:sz w:val="22"/>
          <w:lang w:val="en-US"/>
        </w:rPr>
        <w:t>Financial inclusion: financial inclusion leads to higher productivity</w:t>
      </w:r>
    </w:p>
    <w:p w14:paraId="657EC6CE" w14:textId="08DCC219" w:rsidR="001E509F" w:rsidRPr="001E509F" w:rsidRDefault="001E509F" w:rsidP="001E509F">
      <w:pPr>
        <w:pStyle w:val="BodyText"/>
        <w:numPr>
          <w:ilvl w:val="0"/>
          <w:numId w:val="48"/>
        </w:numPr>
        <w:rPr>
          <w:sz w:val="22"/>
          <w:lang w:val="en-US"/>
        </w:rPr>
      </w:pPr>
      <w:r w:rsidRPr="001E509F">
        <w:rPr>
          <w:sz w:val="22"/>
          <w:lang w:val="en-US"/>
        </w:rPr>
        <w:t>Private sector lending versus banking assets: lending to the private sector drives growth</w:t>
      </w:r>
    </w:p>
    <w:p w14:paraId="4B9DAB78" w14:textId="128CD97B" w:rsidR="001E509F" w:rsidRPr="001E509F" w:rsidRDefault="001E509F" w:rsidP="001E509F">
      <w:pPr>
        <w:pStyle w:val="BodyText"/>
        <w:numPr>
          <w:ilvl w:val="0"/>
          <w:numId w:val="48"/>
        </w:numPr>
        <w:rPr>
          <w:sz w:val="22"/>
          <w:lang w:val="en-US"/>
        </w:rPr>
      </w:pPr>
      <w:r w:rsidRPr="001E509F">
        <w:rPr>
          <w:sz w:val="22"/>
          <w:lang w:val="en-US"/>
        </w:rPr>
        <w:t xml:space="preserve">Electronic payments: electronic transactions curtail the black economy and give a boost to the economic growth </w:t>
      </w:r>
    </w:p>
    <w:p w14:paraId="1148553D" w14:textId="6D2D7AFC" w:rsidR="001E509F" w:rsidRPr="001E509F" w:rsidRDefault="001E509F" w:rsidP="001E509F">
      <w:pPr>
        <w:pStyle w:val="BodyText"/>
        <w:numPr>
          <w:ilvl w:val="0"/>
          <w:numId w:val="48"/>
        </w:numPr>
        <w:rPr>
          <w:sz w:val="22"/>
          <w:lang w:val="en-US"/>
        </w:rPr>
      </w:pPr>
      <w:r w:rsidRPr="001E509F">
        <w:rPr>
          <w:sz w:val="22"/>
          <w:lang w:val="en-US"/>
        </w:rPr>
        <w:t>Life insurance penetration: a higher ratio demonstrates quality of social security and enablement</w:t>
      </w:r>
    </w:p>
    <w:p w14:paraId="2E31C2B0" w14:textId="0507941A" w:rsidR="005C4682" w:rsidRPr="00A04D27" w:rsidRDefault="00262F9A" w:rsidP="005C4682">
      <w:pPr>
        <w:pStyle w:val="NormalWeb"/>
        <w:shd w:val="clear" w:color="auto" w:fill="FFFFFF"/>
        <w:spacing w:after="120" w:afterAutospacing="0"/>
        <w:rPr>
          <w:rFonts w:ascii="Georgia" w:hAnsi="Georgia" w:cstheme="minorHAnsi"/>
          <w:sz w:val="22"/>
          <w:szCs w:val="22"/>
          <w:lang w:val="en-US"/>
        </w:rPr>
      </w:pPr>
      <w:r w:rsidRPr="00AE3B4D">
        <w:rPr>
          <w:rFonts w:ascii="Georgia" w:hAnsi="Georgia"/>
          <w:sz w:val="22"/>
          <w:szCs w:val="22"/>
          <w:lang w:val="en-US"/>
        </w:rPr>
        <w:lastRenderedPageBreak/>
        <w:t xml:space="preserve">The report </w:t>
      </w:r>
      <w:r w:rsidR="003A3A5F">
        <w:rPr>
          <w:rFonts w:ascii="Georgia" w:hAnsi="Georgia"/>
          <w:sz w:val="22"/>
          <w:szCs w:val="22"/>
          <w:lang w:val="en-US"/>
        </w:rPr>
        <w:t>‘</w:t>
      </w:r>
      <w:r w:rsidR="00AE3B4D" w:rsidRPr="002927B4">
        <w:rPr>
          <w:rFonts w:ascii="Georgia" w:hAnsi="Georgia"/>
          <w:i/>
          <w:sz w:val="22"/>
          <w:szCs w:val="22"/>
          <w:lang w:val="en-US"/>
        </w:rPr>
        <w:t>Geared up for growth: Shaping a fit for purpose financial system</w:t>
      </w:r>
      <w:r w:rsidR="003A3A5F">
        <w:rPr>
          <w:rFonts w:ascii="Georgia" w:hAnsi="Georgia"/>
          <w:sz w:val="22"/>
          <w:szCs w:val="22"/>
          <w:lang w:val="en-US"/>
        </w:rPr>
        <w:t>’</w:t>
      </w:r>
      <w:r w:rsidR="00AE3B4D" w:rsidRPr="00AE3B4D">
        <w:rPr>
          <w:rFonts w:ascii="Georgia" w:hAnsi="Georgia"/>
          <w:sz w:val="22"/>
          <w:szCs w:val="22"/>
          <w:lang w:val="en-US"/>
        </w:rPr>
        <w:t xml:space="preserve"> </w:t>
      </w:r>
      <w:r w:rsidR="005C4682" w:rsidRPr="00AE3B4D">
        <w:rPr>
          <w:rFonts w:ascii="Georgia" w:hAnsi="Georgia" w:cstheme="minorHAnsi"/>
          <w:sz w:val="22"/>
          <w:szCs w:val="22"/>
          <w:lang w:val="en-US"/>
        </w:rPr>
        <w:t xml:space="preserve">can be downloaded </w:t>
      </w:r>
      <w:hyperlink r:id="rId10" w:history="1">
        <w:r w:rsidR="00A04D27" w:rsidRPr="00A04D27">
          <w:rPr>
            <w:rStyle w:val="Hyperlink"/>
            <w:rFonts w:ascii="Georgia" w:hAnsi="Georgia" w:cstheme="minorHAnsi"/>
            <w:sz w:val="22"/>
            <w:szCs w:val="22"/>
            <w:lang w:val="en-US"/>
          </w:rPr>
          <w:t>here</w:t>
        </w:r>
      </w:hyperlink>
      <w:r w:rsidR="00A04D27">
        <w:rPr>
          <w:rFonts w:ascii="Georgia" w:hAnsi="Georgia" w:cstheme="minorHAnsi"/>
          <w:sz w:val="22"/>
          <w:szCs w:val="22"/>
          <w:lang w:val="en-US"/>
        </w:rPr>
        <w:t>.</w:t>
      </w:r>
    </w:p>
    <w:p w14:paraId="70376E50" w14:textId="04FD032C" w:rsidR="00AE3B4D" w:rsidRPr="00AE3B4D" w:rsidRDefault="00AE3B4D" w:rsidP="005C4682">
      <w:pPr>
        <w:pStyle w:val="NormalWeb"/>
        <w:shd w:val="clear" w:color="auto" w:fill="FFFFFF"/>
        <w:spacing w:after="120" w:afterAutospacing="0"/>
        <w:rPr>
          <w:rFonts w:ascii="Georgia" w:hAnsi="Georgia" w:cstheme="minorHAnsi"/>
          <w:b/>
          <w:sz w:val="22"/>
          <w:szCs w:val="22"/>
          <w:lang w:val="en-US"/>
        </w:rPr>
      </w:pPr>
      <w:r w:rsidRPr="00AE3B4D">
        <w:rPr>
          <w:rFonts w:ascii="Georgia" w:hAnsi="Georgia" w:cstheme="minorHAnsi"/>
          <w:b/>
          <w:sz w:val="22"/>
          <w:szCs w:val="22"/>
          <w:lang w:val="en-US"/>
        </w:rPr>
        <w:t>About PwC Project Blue</w:t>
      </w:r>
    </w:p>
    <w:p w14:paraId="796F5E90" w14:textId="3E0DCD1A" w:rsidR="00AE3B4D" w:rsidRPr="00AE3B4D" w:rsidRDefault="00AE3B4D" w:rsidP="00AE3B4D">
      <w:pPr>
        <w:pStyle w:val="BodyText"/>
        <w:rPr>
          <w:sz w:val="22"/>
          <w:lang w:val="en-US"/>
        </w:rPr>
      </w:pPr>
      <w:r w:rsidRPr="00AE3B4D">
        <w:rPr>
          <w:sz w:val="22"/>
          <w:lang w:val="en-US"/>
        </w:rPr>
        <w:t xml:space="preserve">PwC Project Blue explores the major trends that are transforming the global economy and competitive landscape for financial services (FS) </w:t>
      </w:r>
      <w:proofErr w:type="spellStart"/>
      <w:r w:rsidRPr="00AE3B4D">
        <w:rPr>
          <w:sz w:val="22"/>
          <w:lang w:val="en-US"/>
        </w:rPr>
        <w:t>organisations</w:t>
      </w:r>
      <w:proofErr w:type="spellEnd"/>
      <w:r w:rsidRPr="00AE3B4D">
        <w:rPr>
          <w:sz w:val="22"/>
          <w:lang w:val="en-US"/>
        </w:rPr>
        <w:t xml:space="preserve"> worldwide. It also sets out the implications of these trends for public policy and regulation, and how governments and regulators can forge an efficient, resilient and inclusive financial system.</w:t>
      </w:r>
    </w:p>
    <w:p w14:paraId="225E2260" w14:textId="77777777" w:rsidR="005C4682" w:rsidRPr="00AE3B4D" w:rsidRDefault="00B87D94" w:rsidP="005C4682">
      <w:pPr>
        <w:pStyle w:val="NormalWeb"/>
        <w:shd w:val="clear" w:color="auto" w:fill="FFFFFF"/>
        <w:spacing w:after="120" w:afterAutospacing="0"/>
        <w:rPr>
          <w:rFonts w:ascii="Georgia" w:hAnsi="Georgia" w:cs="Georgia"/>
          <w:b/>
          <w:sz w:val="22"/>
          <w:szCs w:val="22"/>
        </w:rPr>
      </w:pPr>
      <w:r w:rsidRPr="00AE3B4D">
        <w:rPr>
          <w:rFonts w:ascii="Georgia" w:hAnsi="Georgia" w:cs="Georgia"/>
          <w:b/>
          <w:sz w:val="22"/>
          <w:szCs w:val="22"/>
        </w:rPr>
        <w:t>About PwC</w:t>
      </w:r>
    </w:p>
    <w:p w14:paraId="752F4B14" w14:textId="441A26AC" w:rsidR="00A43813" w:rsidRPr="005C4682" w:rsidRDefault="00D41942" w:rsidP="005C4682">
      <w:pPr>
        <w:pStyle w:val="NormalWeb"/>
        <w:shd w:val="clear" w:color="auto" w:fill="FFFFFF"/>
        <w:spacing w:after="120" w:afterAutospacing="0"/>
        <w:rPr>
          <w:rFonts w:ascii="Georgia" w:eastAsia="Calibri" w:hAnsi="Georgia" w:cs="Georgia"/>
          <w:color w:val="000000"/>
          <w:sz w:val="22"/>
          <w:szCs w:val="22"/>
        </w:rPr>
      </w:pPr>
      <w:r w:rsidRPr="00AE3B4D">
        <w:rPr>
          <w:rFonts w:ascii="Georgia" w:hAnsi="Georgia" w:cs="Georgia"/>
          <w:sz w:val="22"/>
          <w:szCs w:val="22"/>
        </w:rPr>
        <w:t xml:space="preserve">At PwC, our purpose is to build trust in society and solve important problems. We’re a network of firms in </w:t>
      </w:r>
      <w:r w:rsidR="00D03811">
        <w:rPr>
          <w:rFonts w:ascii="Georgia" w:hAnsi="Georgia" w:cs="Georgia"/>
          <w:sz w:val="22"/>
          <w:szCs w:val="22"/>
        </w:rPr>
        <w:t>157 countries with more than 223</w:t>
      </w:r>
      <w:r w:rsidRPr="00AE3B4D">
        <w:rPr>
          <w:rFonts w:ascii="Georgia" w:hAnsi="Georgia" w:cs="Georgia"/>
          <w:sz w:val="22"/>
          <w:szCs w:val="22"/>
        </w:rPr>
        <w:t>,000 people who are committed to delivering quality in assurance, advisory and tax servic</w:t>
      </w:r>
      <w:bookmarkStart w:id="0" w:name="_GoBack"/>
      <w:bookmarkEnd w:id="0"/>
      <w:r w:rsidRPr="00AE3B4D">
        <w:rPr>
          <w:rFonts w:ascii="Georgia" w:hAnsi="Georgia" w:cs="Georgia"/>
          <w:sz w:val="22"/>
          <w:szCs w:val="22"/>
        </w:rPr>
        <w:t xml:space="preserve">es. Find out more and tell us what matters to you by visiting us at </w:t>
      </w:r>
      <w:hyperlink r:id="rId11" w:history="1">
        <w:r w:rsidR="009174E4" w:rsidRPr="00AE3B4D">
          <w:rPr>
            <w:rStyle w:val="Hyperlink"/>
            <w:rFonts w:ascii="Georgia" w:hAnsi="Georgia" w:cs="Georgia"/>
            <w:sz w:val="22"/>
            <w:szCs w:val="22"/>
          </w:rPr>
          <w:t>www.pwc.com</w:t>
        </w:r>
      </w:hyperlink>
      <w:r w:rsidR="009174E4" w:rsidRPr="00AE3B4D">
        <w:rPr>
          <w:rFonts w:ascii="Georgia" w:hAnsi="Georgia" w:cs="Georgia"/>
          <w:sz w:val="22"/>
          <w:szCs w:val="22"/>
        </w:rPr>
        <w:t>.</w:t>
      </w:r>
      <w:r w:rsidR="009174E4" w:rsidRPr="00AE3B4D">
        <w:rPr>
          <w:rFonts w:ascii="Georgia" w:eastAsia="Calibri" w:hAnsi="Georgia" w:cs="Georgia"/>
          <w:color w:val="000000"/>
          <w:sz w:val="22"/>
          <w:szCs w:val="22"/>
        </w:rPr>
        <w:t xml:space="preserve"> </w:t>
      </w:r>
      <w:r w:rsidRPr="00AE3B4D">
        <w:rPr>
          <w:rFonts w:ascii="Georgia" w:eastAsia="Calibri" w:hAnsi="Georgia" w:cs="Georgia"/>
          <w:color w:val="000000"/>
          <w:sz w:val="22"/>
          <w:szCs w:val="22"/>
        </w:rPr>
        <w:br/>
      </w:r>
      <w:r w:rsidRPr="00AE3B4D">
        <w:rPr>
          <w:rFonts w:ascii="Georgia" w:eastAsia="Calibri" w:hAnsi="Georgia" w:cs="Georgia"/>
          <w:color w:val="000000"/>
          <w:sz w:val="22"/>
          <w:szCs w:val="22"/>
        </w:rPr>
        <w:br/>
      </w:r>
      <w:r w:rsidRPr="00AE3B4D">
        <w:rPr>
          <w:rFonts w:ascii="Georgia" w:hAnsi="Georgia" w:cs="Georgia"/>
          <w:sz w:val="22"/>
          <w:szCs w:val="22"/>
        </w:rPr>
        <w:t xml:space="preserve">PwC refers to the PwC network and/or one or more of its member firms, each of which is a separate legal entity. Please see </w:t>
      </w:r>
      <w:hyperlink r:id="rId12" w:history="1">
        <w:r w:rsidR="009174E4" w:rsidRPr="00AE3B4D">
          <w:rPr>
            <w:rStyle w:val="Hyperlink"/>
            <w:rFonts w:ascii="Georgia" w:hAnsi="Georgia" w:cs="Georgia"/>
            <w:sz w:val="22"/>
            <w:szCs w:val="22"/>
          </w:rPr>
          <w:t>www.pwc.com/structure</w:t>
        </w:r>
      </w:hyperlink>
      <w:r w:rsidR="009174E4" w:rsidRPr="00AE3B4D">
        <w:rPr>
          <w:rFonts w:ascii="Georgia" w:hAnsi="Georgia" w:cs="Georgia"/>
          <w:sz w:val="22"/>
          <w:szCs w:val="22"/>
        </w:rPr>
        <w:t xml:space="preserve"> </w:t>
      </w:r>
      <w:r w:rsidR="00D03811">
        <w:rPr>
          <w:rFonts w:ascii="Georgia" w:hAnsi="Georgia" w:cs="Georgia"/>
          <w:sz w:val="22"/>
          <w:szCs w:val="22"/>
        </w:rPr>
        <w:t>for further details.</w:t>
      </w:r>
      <w:r w:rsidR="00D03811">
        <w:rPr>
          <w:rFonts w:ascii="Georgia" w:hAnsi="Georgia" w:cs="Georgia"/>
          <w:sz w:val="22"/>
          <w:szCs w:val="22"/>
        </w:rPr>
        <w:br/>
      </w:r>
      <w:r w:rsidR="00D03811">
        <w:rPr>
          <w:rFonts w:ascii="Georgia" w:hAnsi="Georgia" w:cs="Georgia"/>
          <w:sz w:val="22"/>
          <w:szCs w:val="22"/>
        </w:rPr>
        <w:br/>
        <w:t>© 2017</w:t>
      </w:r>
      <w:r w:rsidRPr="00AE3B4D">
        <w:rPr>
          <w:rFonts w:ascii="Georgia" w:hAnsi="Georgia" w:cs="Georgia"/>
          <w:sz w:val="22"/>
          <w:szCs w:val="22"/>
        </w:rPr>
        <w:t xml:space="preserve"> PwC. All rights reserved.</w:t>
      </w:r>
      <w:r w:rsidR="00F308ED" w:rsidRPr="005C4682">
        <w:rPr>
          <w:rFonts w:ascii="Georgia" w:hAnsi="Georgia" w:cs="Georgia"/>
          <w:sz w:val="22"/>
        </w:rPr>
        <w:br/>
      </w:r>
    </w:p>
    <w:sectPr w:rsidR="00A43813" w:rsidRPr="005C4682" w:rsidSect="00D41942">
      <w:headerReference w:type="even" r:id="rId13"/>
      <w:headerReference w:type="default" r:id="rId14"/>
      <w:footerReference w:type="even" r:id="rId15"/>
      <w:footerReference w:type="default" r:id="rId16"/>
      <w:headerReference w:type="first" r:id="rId17"/>
      <w:pgSz w:w="11907" w:h="16839"/>
      <w:pgMar w:top="3137" w:right="850" w:bottom="851" w:left="198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D801A" w14:textId="77777777" w:rsidR="001619B9" w:rsidRDefault="001619B9">
      <w:pPr>
        <w:spacing w:line="240" w:lineRule="auto"/>
      </w:pPr>
      <w:r>
        <w:separator/>
      </w:r>
    </w:p>
  </w:endnote>
  <w:endnote w:type="continuationSeparator" w:id="0">
    <w:p w14:paraId="38F06F48" w14:textId="77777777" w:rsidR="001619B9" w:rsidRDefault="00161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harterITC-Regu">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57024" w14:textId="77777777" w:rsidR="004B1F5A" w:rsidRDefault="004B1F5A">
    <w:pPr>
      <w:pStyle w:val="Footer"/>
    </w:pPr>
    <w:r>
      <w:fldChar w:fldCharType="begin"/>
    </w:r>
    <w:r>
      <w:instrText xml:space="preserve"> PAGE  \* MERGEFORMAT </w:instrText>
    </w:r>
    <w:r>
      <w:fldChar w:fldCharType="separate"/>
    </w:r>
    <w:r w:rsidR="00502C36">
      <w:rPr>
        <w:noProof/>
      </w:rPr>
      <w:t>4</w:t>
    </w:r>
    <w:r>
      <w:rPr>
        <w:noProof/>
      </w:rPr>
      <w:fldChar w:fldCharType="end"/>
    </w:r>
    <w:r>
      <w:t xml:space="preserve"> of </w:t>
    </w:r>
    <w:fldSimple w:instr=" NUMPAGES  \* MERGEFORMAT ">
      <w:r w:rsidR="00502C36">
        <w:rPr>
          <w:noProof/>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BB0D" w14:textId="77777777" w:rsidR="004B1F5A" w:rsidRDefault="004B1F5A">
    <w:pPr>
      <w:pStyle w:val="Footer"/>
    </w:pPr>
    <w:r>
      <w:fldChar w:fldCharType="begin"/>
    </w:r>
    <w:r>
      <w:instrText xml:space="preserve"> PAGE  \* MERGEFORMAT </w:instrText>
    </w:r>
    <w:r>
      <w:fldChar w:fldCharType="separate"/>
    </w:r>
    <w:r w:rsidR="00A04D27">
      <w:rPr>
        <w:noProof/>
      </w:rPr>
      <w:t>3</w:t>
    </w:r>
    <w:r>
      <w:rPr>
        <w:noProof/>
      </w:rPr>
      <w:fldChar w:fldCharType="end"/>
    </w:r>
    <w:r>
      <w:t xml:space="preserve"> of </w:t>
    </w:r>
    <w:fldSimple w:instr=" NUMPAGES  \* MERGEFORMAT ">
      <w:r w:rsidR="00A04D27">
        <w:rPr>
          <w:noProof/>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F3D2F" w14:textId="77777777" w:rsidR="001619B9" w:rsidRDefault="001619B9">
      <w:pPr>
        <w:spacing w:line="240" w:lineRule="auto"/>
      </w:pPr>
      <w:r>
        <w:separator/>
      </w:r>
    </w:p>
  </w:footnote>
  <w:footnote w:type="continuationSeparator" w:id="0">
    <w:p w14:paraId="2929FAFA" w14:textId="77777777" w:rsidR="001619B9" w:rsidRDefault="001619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7C2C2" w14:textId="77777777" w:rsidR="004B1F5A" w:rsidRDefault="004B1F5A">
    <w:pPr>
      <w:pStyle w:val="Header"/>
    </w:pPr>
    <w:r>
      <w:rPr>
        <w:noProof/>
        <w:lang w:val="en-US"/>
      </w:rPr>
      <w:drawing>
        <wp:anchor distT="0" distB="0" distL="114300" distR="114300" simplePos="0" relativeHeight="251660288" behindDoc="0" locked="1" layoutInCell="1" allowOverlap="1" wp14:anchorId="1F4A232E" wp14:editId="7A345E9E">
          <wp:simplePos x="0" y="0"/>
          <wp:positionH relativeFrom="page">
            <wp:posOffset>431165</wp:posOffset>
          </wp:positionH>
          <wp:positionV relativeFrom="page">
            <wp:posOffset>490855</wp:posOffset>
          </wp:positionV>
          <wp:extent cx="1410970" cy="1268730"/>
          <wp:effectExtent l="0" t="0" r="0" b="0"/>
          <wp:wrapNone/>
          <wp:docPr id="14"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14:paraId="76779165" w14:textId="77777777" w:rsidR="004B1F5A" w:rsidRDefault="004B1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A466C" w14:textId="77777777" w:rsidR="004B1F5A" w:rsidRDefault="004B1F5A">
    <w:pPr>
      <w:pStyle w:val="Header"/>
    </w:pPr>
    <w:r>
      <w:rPr>
        <w:noProof/>
        <w:lang w:val="en-US"/>
      </w:rPr>
      <w:drawing>
        <wp:anchor distT="0" distB="0" distL="114300" distR="114300" simplePos="0" relativeHeight="251658240" behindDoc="0" locked="1" layoutInCell="1" allowOverlap="1" wp14:anchorId="461EDB78" wp14:editId="28D65F0A">
          <wp:simplePos x="0" y="0"/>
          <wp:positionH relativeFrom="page">
            <wp:posOffset>431165</wp:posOffset>
          </wp:positionH>
          <wp:positionV relativeFrom="page">
            <wp:posOffset>490855</wp:posOffset>
          </wp:positionV>
          <wp:extent cx="1410970" cy="1268730"/>
          <wp:effectExtent l="0" t="0" r="0" b="0"/>
          <wp:wrapNone/>
          <wp:docPr id="15"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14:paraId="542C5B6D" w14:textId="77777777" w:rsidR="004B1F5A" w:rsidRDefault="004B1F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57847" w14:textId="77777777" w:rsidR="004B1F5A" w:rsidRDefault="004B1F5A">
    <w:pPr>
      <w:pStyle w:val="Header"/>
    </w:pPr>
    <w:r>
      <w:rPr>
        <w:noProof/>
        <w:lang w:val="en-US"/>
      </w:rPr>
      <w:drawing>
        <wp:anchor distT="0" distB="0" distL="114300" distR="114300" simplePos="0" relativeHeight="251656192" behindDoc="0" locked="1" layoutInCell="1" allowOverlap="1" wp14:anchorId="4308D14F" wp14:editId="445292E6">
          <wp:simplePos x="0" y="0"/>
          <wp:positionH relativeFrom="page">
            <wp:posOffset>431165</wp:posOffset>
          </wp:positionH>
          <wp:positionV relativeFrom="page">
            <wp:posOffset>490855</wp:posOffset>
          </wp:positionV>
          <wp:extent cx="1410970" cy="1268730"/>
          <wp:effectExtent l="0" t="0" r="0" b="0"/>
          <wp:wrapNone/>
          <wp:docPr id="16"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8961BEA"/>
    <w:lvl w:ilvl="0">
      <w:numFmt w:val="bullet"/>
      <w:lvlText w:val="*"/>
      <w:lvlJc w:val="left"/>
    </w:lvl>
  </w:abstractNum>
  <w:abstractNum w:abstractNumId="1" w15:restartNumberingAfterBreak="0">
    <w:nsid w:val="008933FB"/>
    <w:multiLevelType w:val="hybridMultilevel"/>
    <w:tmpl w:val="E706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37A79"/>
    <w:multiLevelType w:val="hybridMultilevel"/>
    <w:tmpl w:val="AB92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45589"/>
    <w:multiLevelType w:val="hybridMultilevel"/>
    <w:tmpl w:val="61D8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33F44"/>
    <w:multiLevelType w:val="hybridMultilevel"/>
    <w:tmpl w:val="839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70153"/>
    <w:multiLevelType w:val="hybridMultilevel"/>
    <w:tmpl w:val="130AD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CF3A23"/>
    <w:multiLevelType w:val="multilevel"/>
    <w:tmpl w:val="423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24CE8"/>
    <w:multiLevelType w:val="hybridMultilevel"/>
    <w:tmpl w:val="40C4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006C"/>
    <w:multiLevelType w:val="hybridMultilevel"/>
    <w:tmpl w:val="373AF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112BB4"/>
    <w:multiLevelType w:val="hybridMultilevel"/>
    <w:tmpl w:val="87FA2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A63A6F"/>
    <w:multiLevelType w:val="hybridMultilevel"/>
    <w:tmpl w:val="D81C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23A60"/>
    <w:multiLevelType w:val="hybridMultilevel"/>
    <w:tmpl w:val="EB7A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E48B1"/>
    <w:multiLevelType w:val="hybridMultilevel"/>
    <w:tmpl w:val="FF5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E10A10"/>
    <w:multiLevelType w:val="hybridMultilevel"/>
    <w:tmpl w:val="624A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324B8"/>
    <w:multiLevelType w:val="hybridMultilevel"/>
    <w:tmpl w:val="9BB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C2006"/>
    <w:multiLevelType w:val="hybridMultilevel"/>
    <w:tmpl w:val="7F28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C2A64"/>
    <w:multiLevelType w:val="hybridMultilevel"/>
    <w:tmpl w:val="1A3020B4"/>
    <w:lvl w:ilvl="0" w:tplc="9296026A">
      <w:start w:val="1"/>
      <w:numFmt w:val="decimal"/>
      <w:lvlText w:val="%1."/>
      <w:lvlJc w:val="left"/>
      <w:pPr>
        <w:ind w:left="720" w:hanging="360"/>
      </w:pPr>
      <w:rPr>
        <w:rFonts w:ascii="Times New Roman" w:hAnsi="Times New Roman" w:cs="Helv"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147438"/>
    <w:multiLevelType w:val="hybridMultilevel"/>
    <w:tmpl w:val="A8C0424C"/>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36372A18"/>
    <w:multiLevelType w:val="hybridMultilevel"/>
    <w:tmpl w:val="4762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C5214"/>
    <w:multiLevelType w:val="hybridMultilevel"/>
    <w:tmpl w:val="2CD203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B9C0E64"/>
    <w:multiLevelType w:val="hybridMultilevel"/>
    <w:tmpl w:val="D91813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DBF0F64"/>
    <w:multiLevelType w:val="hybridMultilevel"/>
    <w:tmpl w:val="3FD6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E64FD5"/>
    <w:multiLevelType w:val="hybridMultilevel"/>
    <w:tmpl w:val="B714F3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8E67DA"/>
    <w:multiLevelType w:val="hybridMultilevel"/>
    <w:tmpl w:val="B0CE4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345227"/>
    <w:multiLevelType w:val="hybridMultilevel"/>
    <w:tmpl w:val="42869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697BE4"/>
    <w:multiLevelType w:val="hybridMultilevel"/>
    <w:tmpl w:val="7DFC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5138A"/>
    <w:multiLevelType w:val="hybridMultilevel"/>
    <w:tmpl w:val="E98EA896"/>
    <w:lvl w:ilvl="0" w:tplc="2D709CE6">
      <w:start w:val="1"/>
      <w:numFmt w:val="bullet"/>
      <w:pStyle w:val="List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E72EAB"/>
    <w:multiLevelType w:val="hybridMultilevel"/>
    <w:tmpl w:val="3B14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144A5"/>
    <w:multiLevelType w:val="hybridMultilevel"/>
    <w:tmpl w:val="67DCC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26554"/>
    <w:multiLevelType w:val="hybridMultilevel"/>
    <w:tmpl w:val="2B826B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42C7544"/>
    <w:multiLevelType w:val="hybridMultilevel"/>
    <w:tmpl w:val="E72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B490D"/>
    <w:multiLevelType w:val="hybridMultilevel"/>
    <w:tmpl w:val="546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909D9"/>
    <w:multiLevelType w:val="hybridMultilevel"/>
    <w:tmpl w:val="86DAD9A4"/>
    <w:lvl w:ilvl="0" w:tplc="10889B90">
      <w:start w:val="5"/>
      <w:numFmt w:val="bullet"/>
      <w:lvlText w:val="-"/>
      <w:lvlJc w:val="left"/>
      <w:pPr>
        <w:ind w:left="720" w:hanging="360"/>
      </w:pPr>
      <w:rPr>
        <w:rFonts w:ascii="Georgia" w:eastAsia="Calibri" w:hAnsi="Georgia"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66F7F"/>
    <w:multiLevelType w:val="hybridMultilevel"/>
    <w:tmpl w:val="80D4AA64"/>
    <w:lvl w:ilvl="0" w:tplc="0807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B714479"/>
    <w:multiLevelType w:val="hybridMultilevel"/>
    <w:tmpl w:val="22AA3E38"/>
    <w:lvl w:ilvl="0" w:tplc="0807000F">
      <w:start w:val="1"/>
      <w:numFmt w:val="decimal"/>
      <w:lvlText w:val="%1."/>
      <w:lvlJc w:val="left"/>
      <w:pPr>
        <w:tabs>
          <w:tab w:val="num" w:pos="720"/>
        </w:tabs>
        <w:ind w:left="720" w:hanging="360"/>
      </w:pPr>
      <w:rPr>
        <w:rFonts w:cs="Times New Roman"/>
      </w:rPr>
    </w:lvl>
    <w:lvl w:ilvl="1" w:tplc="08070019">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B45750"/>
    <w:multiLevelType w:val="hybridMultilevel"/>
    <w:tmpl w:val="CC520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2625A"/>
    <w:multiLevelType w:val="hybridMultilevel"/>
    <w:tmpl w:val="C9BE094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7" w15:restartNumberingAfterBreak="0">
    <w:nsid w:val="605326A9"/>
    <w:multiLevelType w:val="hybridMultilevel"/>
    <w:tmpl w:val="A2226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D22B32"/>
    <w:multiLevelType w:val="hybridMultilevel"/>
    <w:tmpl w:val="B4A6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8021DD"/>
    <w:multiLevelType w:val="hybridMultilevel"/>
    <w:tmpl w:val="C14060B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8D751B6"/>
    <w:multiLevelType w:val="hybridMultilevel"/>
    <w:tmpl w:val="8F92528E"/>
    <w:lvl w:ilvl="0" w:tplc="E6DC1BFA">
      <w:start w:val="1"/>
      <w:numFmt w:val="decimal"/>
      <w:pStyle w:val="ListNumbered"/>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99A114A"/>
    <w:multiLevelType w:val="hybridMultilevel"/>
    <w:tmpl w:val="D438E2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2A1072"/>
    <w:multiLevelType w:val="hybridMultilevel"/>
    <w:tmpl w:val="51F8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7D79B9"/>
    <w:multiLevelType w:val="hybridMultilevel"/>
    <w:tmpl w:val="C9EABCF8"/>
    <w:lvl w:ilvl="0" w:tplc="0FF8FAB4">
      <w:start w:val="1"/>
      <w:numFmt w:val="decimal"/>
      <w:lvlText w:val="%1."/>
      <w:lvlJc w:val="left"/>
      <w:pPr>
        <w:ind w:left="720" w:hanging="360"/>
      </w:pPr>
      <w:rPr>
        <w:rFonts w:ascii="Georgia" w:eastAsiaTheme="minorHAnsi" w:hAnsi="Georg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F90343"/>
    <w:multiLevelType w:val="hybridMultilevel"/>
    <w:tmpl w:val="AF84FE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CA945A4"/>
    <w:multiLevelType w:val="hybridMultilevel"/>
    <w:tmpl w:val="E70653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40"/>
  </w:num>
  <w:num w:numId="5">
    <w:abstractNumId w:val="40"/>
    <w:lvlOverride w:ilvl="0">
      <w:startOverride w:val="1"/>
    </w:lvlOverride>
  </w:num>
  <w:num w:numId="6">
    <w:abstractNumId w:val="6"/>
  </w:num>
  <w:num w:numId="7">
    <w:abstractNumId w:val="23"/>
  </w:num>
  <w:num w:numId="8">
    <w:abstractNumId w:val="24"/>
  </w:num>
  <w:num w:numId="9">
    <w:abstractNumId w:val="18"/>
  </w:num>
  <w:num w:numId="10">
    <w:abstractNumId w:val="1"/>
  </w:num>
  <w:num w:numId="11">
    <w:abstractNumId w:val="4"/>
  </w:num>
  <w:num w:numId="12">
    <w:abstractNumId w:val="15"/>
  </w:num>
  <w:num w:numId="13">
    <w:abstractNumId w:val="8"/>
  </w:num>
  <w:num w:numId="14">
    <w:abstractNumId w:val="34"/>
  </w:num>
  <w:num w:numId="15">
    <w:abstractNumId w:val="29"/>
  </w:num>
  <w:num w:numId="16">
    <w:abstractNumId w:val="0"/>
    <w:lvlOverride w:ilvl="0">
      <w:lvl w:ilvl="0">
        <w:numFmt w:val="bullet"/>
        <w:lvlText w:val="•"/>
        <w:legacy w:legacy="1" w:legacySpace="0" w:legacyIndent="0"/>
        <w:lvlJc w:val="left"/>
        <w:rPr>
          <w:rFonts w:ascii="Helv" w:hAnsi="Helv" w:hint="default"/>
        </w:rPr>
      </w:lvl>
    </w:lvlOverride>
  </w:num>
  <w:num w:numId="17">
    <w:abstractNumId w:val="36"/>
  </w:num>
  <w:num w:numId="18">
    <w:abstractNumId w:val="32"/>
  </w:num>
  <w:num w:numId="19">
    <w:abstractNumId w:val="26"/>
  </w:num>
  <w:num w:numId="20">
    <w:abstractNumId w:val="17"/>
  </w:num>
  <w:num w:numId="21">
    <w:abstractNumId w:val="38"/>
  </w:num>
  <w:num w:numId="22">
    <w:abstractNumId w:val="30"/>
  </w:num>
  <w:num w:numId="23">
    <w:abstractNumId w:val="25"/>
  </w:num>
  <w:num w:numId="24">
    <w:abstractNumId w:val="9"/>
  </w:num>
  <w:num w:numId="25">
    <w:abstractNumId w:val="0"/>
    <w:lvlOverride w:ilvl="0">
      <w:lvl w:ilvl="0">
        <w:numFmt w:val="bullet"/>
        <w:lvlText w:val=""/>
        <w:legacy w:legacy="1" w:legacySpace="0" w:legacyIndent="0"/>
        <w:lvlJc w:val="left"/>
        <w:rPr>
          <w:rFonts w:ascii="Symbol" w:hAnsi="Symbol" w:hint="default"/>
          <w:sz w:val="22"/>
        </w:rPr>
      </w:lvl>
    </w:lvlOverride>
  </w:num>
  <w:num w:numId="26">
    <w:abstractNumId w:val="13"/>
  </w:num>
  <w:num w:numId="27">
    <w:abstractNumId w:val="16"/>
  </w:num>
  <w:num w:numId="28">
    <w:abstractNumId w:val="45"/>
  </w:num>
  <w:num w:numId="29">
    <w:abstractNumId w:val="39"/>
  </w:num>
  <w:num w:numId="30">
    <w:abstractNumId w:val="33"/>
  </w:num>
  <w:num w:numId="31">
    <w:abstractNumId w:val="22"/>
  </w:num>
  <w:num w:numId="32">
    <w:abstractNumId w:val="41"/>
  </w:num>
  <w:num w:numId="33">
    <w:abstractNumId w:val="20"/>
  </w:num>
  <w:num w:numId="34">
    <w:abstractNumId w:val="44"/>
  </w:num>
  <w:num w:numId="35">
    <w:abstractNumId w:val="19"/>
  </w:num>
  <w:num w:numId="36">
    <w:abstractNumId w:val="11"/>
  </w:num>
  <w:num w:numId="37">
    <w:abstractNumId w:val="14"/>
  </w:num>
  <w:num w:numId="38">
    <w:abstractNumId w:val="2"/>
  </w:num>
  <w:num w:numId="39">
    <w:abstractNumId w:val="21"/>
  </w:num>
  <w:num w:numId="40">
    <w:abstractNumId w:val="42"/>
  </w:num>
  <w:num w:numId="41">
    <w:abstractNumId w:val="35"/>
  </w:num>
  <w:num w:numId="42">
    <w:abstractNumId w:val="27"/>
  </w:num>
  <w:num w:numId="43">
    <w:abstractNumId w:val="31"/>
  </w:num>
  <w:num w:numId="44">
    <w:abstractNumId w:val="28"/>
  </w:num>
  <w:num w:numId="45">
    <w:abstractNumId w:val="10"/>
  </w:num>
  <w:num w:numId="46">
    <w:abstractNumId w:val="43"/>
  </w:num>
  <w:num w:numId="47">
    <w:abstractNumId w:val="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BF"/>
    <w:rsid w:val="0000021D"/>
    <w:rsid w:val="00006089"/>
    <w:rsid w:val="00006F1C"/>
    <w:rsid w:val="0001257D"/>
    <w:rsid w:val="00025B36"/>
    <w:rsid w:val="00025B59"/>
    <w:rsid w:val="00026D41"/>
    <w:rsid w:val="00027AD2"/>
    <w:rsid w:val="00031B7C"/>
    <w:rsid w:val="00042A50"/>
    <w:rsid w:val="0004559F"/>
    <w:rsid w:val="00073420"/>
    <w:rsid w:val="000738F4"/>
    <w:rsid w:val="00080B6D"/>
    <w:rsid w:val="00083BE3"/>
    <w:rsid w:val="00092A23"/>
    <w:rsid w:val="000A2E67"/>
    <w:rsid w:val="000A3F05"/>
    <w:rsid w:val="000A7587"/>
    <w:rsid w:val="000B25F0"/>
    <w:rsid w:val="000B4BA3"/>
    <w:rsid w:val="000C05B0"/>
    <w:rsid w:val="000C1459"/>
    <w:rsid w:val="000C6668"/>
    <w:rsid w:val="000C7CA9"/>
    <w:rsid w:val="000E597C"/>
    <w:rsid w:val="000E5BB5"/>
    <w:rsid w:val="000E5EAD"/>
    <w:rsid w:val="000F025A"/>
    <w:rsid w:val="000F3CAA"/>
    <w:rsid w:val="001037C2"/>
    <w:rsid w:val="00104822"/>
    <w:rsid w:val="00130C58"/>
    <w:rsid w:val="00131EF6"/>
    <w:rsid w:val="00142030"/>
    <w:rsid w:val="001450BB"/>
    <w:rsid w:val="00147E8C"/>
    <w:rsid w:val="001550F4"/>
    <w:rsid w:val="00155152"/>
    <w:rsid w:val="00157979"/>
    <w:rsid w:val="001619B9"/>
    <w:rsid w:val="001779EF"/>
    <w:rsid w:val="001801A1"/>
    <w:rsid w:val="00180257"/>
    <w:rsid w:val="00184B99"/>
    <w:rsid w:val="00184E43"/>
    <w:rsid w:val="001864CA"/>
    <w:rsid w:val="0019109A"/>
    <w:rsid w:val="00191764"/>
    <w:rsid w:val="00192574"/>
    <w:rsid w:val="00196791"/>
    <w:rsid w:val="001C1F5A"/>
    <w:rsid w:val="001C556A"/>
    <w:rsid w:val="001D0CCD"/>
    <w:rsid w:val="001D519A"/>
    <w:rsid w:val="001D69EB"/>
    <w:rsid w:val="001D71C8"/>
    <w:rsid w:val="001E509F"/>
    <w:rsid w:val="001F09A1"/>
    <w:rsid w:val="001F5310"/>
    <w:rsid w:val="001F7FDE"/>
    <w:rsid w:val="0020384E"/>
    <w:rsid w:val="002064F5"/>
    <w:rsid w:val="00206D7D"/>
    <w:rsid w:val="002101C8"/>
    <w:rsid w:val="002175B4"/>
    <w:rsid w:val="00217A05"/>
    <w:rsid w:val="00223485"/>
    <w:rsid w:val="00234A3A"/>
    <w:rsid w:val="00242B72"/>
    <w:rsid w:val="002456A6"/>
    <w:rsid w:val="00247A1B"/>
    <w:rsid w:val="00250156"/>
    <w:rsid w:val="0026194C"/>
    <w:rsid w:val="00262F9A"/>
    <w:rsid w:val="002716DF"/>
    <w:rsid w:val="00281AA1"/>
    <w:rsid w:val="002927B4"/>
    <w:rsid w:val="002A06E4"/>
    <w:rsid w:val="002A0725"/>
    <w:rsid w:val="002A26BA"/>
    <w:rsid w:val="002B4ED6"/>
    <w:rsid w:val="002C02FA"/>
    <w:rsid w:val="002C7410"/>
    <w:rsid w:val="002D4EBF"/>
    <w:rsid w:val="002F2508"/>
    <w:rsid w:val="002F583B"/>
    <w:rsid w:val="003014BF"/>
    <w:rsid w:val="003120B9"/>
    <w:rsid w:val="003269F4"/>
    <w:rsid w:val="00327CAA"/>
    <w:rsid w:val="003307DC"/>
    <w:rsid w:val="003319AF"/>
    <w:rsid w:val="003350DB"/>
    <w:rsid w:val="0033514E"/>
    <w:rsid w:val="00340E5C"/>
    <w:rsid w:val="003668DB"/>
    <w:rsid w:val="00370616"/>
    <w:rsid w:val="00370FD7"/>
    <w:rsid w:val="0037166E"/>
    <w:rsid w:val="00381CEA"/>
    <w:rsid w:val="003903B3"/>
    <w:rsid w:val="00391F75"/>
    <w:rsid w:val="00392E9E"/>
    <w:rsid w:val="00396F94"/>
    <w:rsid w:val="003A3A5F"/>
    <w:rsid w:val="003B0A15"/>
    <w:rsid w:val="003B3245"/>
    <w:rsid w:val="003D0769"/>
    <w:rsid w:val="003D6E6F"/>
    <w:rsid w:val="003F5D7C"/>
    <w:rsid w:val="004004AB"/>
    <w:rsid w:val="00407BA3"/>
    <w:rsid w:val="0042239C"/>
    <w:rsid w:val="004347BD"/>
    <w:rsid w:val="00435890"/>
    <w:rsid w:val="00435DE4"/>
    <w:rsid w:val="00464666"/>
    <w:rsid w:val="0046480B"/>
    <w:rsid w:val="00467301"/>
    <w:rsid w:val="0047511F"/>
    <w:rsid w:val="004843BF"/>
    <w:rsid w:val="00484C34"/>
    <w:rsid w:val="004875B1"/>
    <w:rsid w:val="0049184A"/>
    <w:rsid w:val="00491C0A"/>
    <w:rsid w:val="004A3B4F"/>
    <w:rsid w:val="004A53CD"/>
    <w:rsid w:val="004A6875"/>
    <w:rsid w:val="004A77C1"/>
    <w:rsid w:val="004B0B70"/>
    <w:rsid w:val="004B1F5A"/>
    <w:rsid w:val="004B6CF2"/>
    <w:rsid w:val="004C37E5"/>
    <w:rsid w:val="004C456F"/>
    <w:rsid w:val="004C6379"/>
    <w:rsid w:val="004E6818"/>
    <w:rsid w:val="004F16C3"/>
    <w:rsid w:val="00502C36"/>
    <w:rsid w:val="00504AC6"/>
    <w:rsid w:val="005351C7"/>
    <w:rsid w:val="00536B56"/>
    <w:rsid w:val="00547F5D"/>
    <w:rsid w:val="0055109A"/>
    <w:rsid w:val="00552F79"/>
    <w:rsid w:val="00560F75"/>
    <w:rsid w:val="00563941"/>
    <w:rsid w:val="00576701"/>
    <w:rsid w:val="00596248"/>
    <w:rsid w:val="005A56A0"/>
    <w:rsid w:val="005A7F7D"/>
    <w:rsid w:val="005B4F8B"/>
    <w:rsid w:val="005C100D"/>
    <w:rsid w:val="005C4682"/>
    <w:rsid w:val="005E1A2F"/>
    <w:rsid w:val="005E3303"/>
    <w:rsid w:val="005F0918"/>
    <w:rsid w:val="00602098"/>
    <w:rsid w:val="006056B6"/>
    <w:rsid w:val="006064AB"/>
    <w:rsid w:val="00617A6D"/>
    <w:rsid w:val="00626306"/>
    <w:rsid w:val="006357DF"/>
    <w:rsid w:val="00647916"/>
    <w:rsid w:val="00664438"/>
    <w:rsid w:val="00671153"/>
    <w:rsid w:val="00681FA2"/>
    <w:rsid w:val="0068466B"/>
    <w:rsid w:val="00684734"/>
    <w:rsid w:val="00686F0B"/>
    <w:rsid w:val="00691323"/>
    <w:rsid w:val="006A798F"/>
    <w:rsid w:val="006D0353"/>
    <w:rsid w:val="006E269D"/>
    <w:rsid w:val="006E531D"/>
    <w:rsid w:val="006F5AE7"/>
    <w:rsid w:val="006F7060"/>
    <w:rsid w:val="00703ADD"/>
    <w:rsid w:val="0070640E"/>
    <w:rsid w:val="00707E58"/>
    <w:rsid w:val="007112C6"/>
    <w:rsid w:val="00716059"/>
    <w:rsid w:val="007213AF"/>
    <w:rsid w:val="007214ED"/>
    <w:rsid w:val="00736CFA"/>
    <w:rsid w:val="00737E70"/>
    <w:rsid w:val="00745677"/>
    <w:rsid w:val="00757CE0"/>
    <w:rsid w:val="00757DE7"/>
    <w:rsid w:val="007602F6"/>
    <w:rsid w:val="007632D3"/>
    <w:rsid w:val="0078192B"/>
    <w:rsid w:val="00786237"/>
    <w:rsid w:val="00786361"/>
    <w:rsid w:val="00796245"/>
    <w:rsid w:val="007A1D35"/>
    <w:rsid w:val="007A6851"/>
    <w:rsid w:val="007B4128"/>
    <w:rsid w:val="007C4D9A"/>
    <w:rsid w:val="007E7C2D"/>
    <w:rsid w:val="007F231D"/>
    <w:rsid w:val="007F32A4"/>
    <w:rsid w:val="0082432C"/>
    <w:rsid w:val="00831B1C"/>
    <w:rsid w:val="00833EF4"/>
    <w:rsid w:val="00836C80"/>
    <w:rsid w:val="00842BCD"/>
    <w:rsid w:val="00846730"/>
    <w:rsid w:val="008478E6"/>
    <w:rsid w:val="0086384A"/>
    <w:rsid w:val="008669CA"/>
    <w:rsid w:val="0087791A"/>
    <w:rsid w:val="00883B2F"/>
    <w:rsid w:val="00884ABF"/>
    <w:rsid w:val="0088640A"/>
    <w:rsid w:val="00890DB6"/>
    <w:rsid w:val="008925C4"/>
    <w:rsid w:val="008A36AD"/>
    <w:rsid w:val="008B6898"/>
    <w:rsid w:val="008C0265"/>
    <w:rsid w:val="008C137C"/>
    <w:rsid w:val="008C465B"/>
    <w:rsid w:val="008D42AE"/>
    <w:rsid w:val="008E3475"/>
    <w:rsid w:val="008E7B72"/>
    <w:rsid w:val="008F1D2C"/>
    <w:rsid w:val="008F3D83"/>
    <w:rsid w:val="008F4A74"/>
    <w:rsid w:val="008F6C69"/>
    <w:rsid w:val="00915D42"/>
    <w:rsid w:val="00915D58"/>
    <w:rsid w:val="00916130"/>
    <w:rsid w:val="009174E4"/>
    <w:rsid w:val="009231DE"/>
    <w:rsid w:val="009374C1"/>
    <w:rsid w:val="00942489"/>
    <w:rsid w:val="00947DB5"/>
    <w:rsid w:val="00952C90"/>
    <w:rsid w:val="00957055"/>
    <w:rsid w:val="0096366C"/>
    <w:rsid w:val="00966D9A"/>
    <w:rsid w:val="00967E01"/>
    <w:rsid w:val="009749D2"/>
    <w:rsid w:val="00974E5C"/>
    <w:rsid w:val="00980FE7"/>
    <w:rsid w:val="009A0687"/>
    <w:rsid w:val="009A2C87"/>
    <w:rsid w:val="009A3681"/>
    <w:rsid w:val="009D12DD"/>
    <w:rsid w:val="009E0240"/>
    <w:rsid w:val="009F1C29"/>
    <w:rsid w:val="009F2AA8"/>
    <w:rsid w:val="00A021AB"/>
    <w:rsid w:val="00A02236"/>
    <w:rsid w:val="00A04D27"/>
    <w:rsid w:val="00A11301"/>
    <w:rsid w:val="00A12B7C"/>
    <w:rsid w:val="00A2125E"/>
    <w:rsid w:val="00A22786"/>
    <w:rsid w:val="00A2674D"/>
    <w:rsid w:val="00A3649C"/>
    <w:rsid w:val="00A36C4F"/>
    <w:rsid w:val="00A43813"/>
    <w:rsid w:val="00A44847"/>
    <w:rsid w:val="00A558C0"/>
    <w:rsid w:val="00A611CA"/>
    <w:rsid w:val="00A737F6"/>
    <w:rsid w:val="00A76F6B"/>
    <w:rsid w:val="00A83BEC"/>
    <w:rsid w:val="00A9103D"/>
    <w:rsid w:val="00A95987"/>
    <w:rsid w:val="00AA3565"/>
    <w:rsid w:val="00AB7F65"/>
    <w:rsid w:val="00AD0A70"/>
    <w:rsid w:val="00AD1C2A"/>
    <w:rsid w:val="00AD34E4"/>
    <w:rsid w:val="00AD6505"/>
    <w:rsid w:val="00AE24C1"/>
    <w:rsid w:val="00AE3B4D"/>
    <w:rsid w:val="00AE40A9"/>
    <w:rsid w:val="00B218FC"/>
    <w:rsid w:val="00B26894"/>
    <w:rsid w:val="00B41A5E"/>
    <w:rsid w:val="00B5772D"/>
    <w:rsid w:val="00B7432C"/>
    <w:rsid w:val="00B753B8"/>
    <w:rsid w:val="00B76604"/>
    <w:rsid w:val="00B81393"/>
    <w:rsid w:val="00B87D94"/>
    <w:rsid w:val="00B915A4"/>
    <w:rsid w:val="00B92202"/>
    <w:rsid w:val="00B95DF0"/>
    <w:rsid w:val="00BA1D9E"/>
    <w:rsid w:val="00BA2C44"/>
    <w:rsid w:val="00BA5793"/>
    <w:rsid w:val="00BA7AEC"/>
    <w:rsid w:val="00BB5805"/>
    <w:rsid w:val="00BC0AD3"/>
    <w:rsid w:val="00BC184A"/>
    <w:rsid w:val="00BC7B35"/>
    <w:rsid w:val="00BE53EB"/>
    <w:rsid w:val="00BF0726"/>
    <w:rsid w:val="00BF25E2"/>
    <w:rsid w:val="00BF7BE9"/>
    <w:rsid w:val="00C0173C"/>
    <w:rsid w:val="00C02C0C"/>
    <w:rsid w:val="00C02D2C"/>
    <w:rsid w:val="00C05316"/>
    <w:rsid w:val="00C05A4B"/>
    <w:rsid w:val="00C14ECD"/>
    <w:rsid w:val="00C17E0F"/>
    <w:rsid w:val="00C20808"/>
    <w:rsid w:val="00C21F61"/>
    <w:rsid w:val="00C25B6B"/>
    <w:rsid w:val="00C3002A"/>
    <w:rsid w:val="00C335C6"/>
    <w:rsid w:val="00C34563"/>
    <w:rsid w:val="00C40DEE"/>
    <w:rsid w:val="00C463D7"/>
    <w:rsid w:val="00C76C8A"/>
    <w:rsid w:val="00C83020"/>
    <w:rsid w:val="00C84232"/>
    <w:rsid w:val="00C847E0"/>
    <w:rsid w:val="00CA47D8"/>
    <w:rsid w:val="00CA485F"/>
    <w:rsid w:val="00CB2B63"/>
    <w:rsid w:val="00CB36CB"/>
    <w:rsid w:val="00CC0731"/>
    <w:rsid w:val="00CC4F0D"/>
    <w:rsid w:val="00CC6B76"/>
    <w:rsid w:val="00CD13EA"/>
    <w:rsid w:val="00CF1E36"/>
    <w:rsid w:val="00CF5C8F"/>
    <w:rsid w:val="00D03811"/>
    <w:rsid w:val="00D04058"/>
    <w:rsid w:val="00D05667"/>
    <w:rsid w:val="00D168BB"/>
    <w:rsid w:val="00D17AA8"/>
    <w:rsid w:val="00D378B1"/>
    <w:rsid w:val="00D40842"/>
    <w:rsid w:val="00D41942"/>
    <w:rsid w:val="00D46AAE"/>
    <w:rsid w:val="00D53F1E"/>
    <w:rsid w:val="00D61B21"/>
    <w:rsid w:val="00D6786E"/>
    <w:rsid w:val="00D824B2"/>
    <w:rsid w:val="00D873D6"/>
    <w:rsid w:val="00D95AB0"/>
    <w:rsid w:val="00D967D9"/>
    <w:rsid w:val="00DA4D04"/>
    <w:rsid w:val="00DA536C"/>
    <w:rsid w:val="00DA7511"/>
    <w:rsid w:val="00DB1D43"/>
    <w:rsid w:val="00DB579D"/>
    <w:rsid w:val="00DB6FA8"/>
    <w:rsid w:val="00DB7A31"/>
    <w:rsid w:val="00DC06D8"/>
    <w:rsid w:val="00DC7EE3"/>
    <w:rsid w:val="00DD059E"/>
    <w:rsid w:val="00DD2CC6"/>
    <w:rsid w:val="00DD5723"/>
    <w:rsid w:val="00DD7447"/>
    <w:rsid w:val="00E07BBF"/>
    <w:rsid w:val="00E07F2B"/>
    <w:rsid w:val="00E129E0"/>
    <w:rsid w:val="00E16A0B"/>
    <w:rsid w:val="00E35B73"/>
    <w:rsid w:val="00E41A00"/>
    <w:rsid w:val="00E44005"/>
    <w:rsid w:val="00E50FE3"/>
    <w:rsid w:val="00E622C6"/>
    <w:rsid w:val="00E72918"/>
    <w:rsid w:val="00E74F6E"/>
    <w:rsid w:val="00E84975"/>
    <w:rsid w:val="00E932E1"/>
    <w:rsid w:val="00E93D80"/>
    <w:rsid w:val="00E9739D"/>
    <w:rsid w:val="00E97E9D"/>
    <w:rsid w:val="00EA08F7"/>
    <w:rsid w:val="00EA5E4B"/>
    <w:rsid w:val="00EB41D7"/>
    <w:rsid w:val="00EB59E8"/>
    <w:rsid w:val="00EB5AE5"/>
    <w:rsid w:val="00EC2F36"/>
    <w:rsid w:val="00EC37A5"/>
    <w:rsid w:val="00EC4453"/>
    <w:rsid w:val="00EC5082"/>
    <w:rsid w:val="00EC6081"/>
    <w:rsid w:val="00EC7D6D"/>
    <w:rsid w:val="00ED0336"/>
    <w:rsid w:val="00ED4FDE"/>
    <w:rsid w:val="00EF5FE9"/>
    <w:rsid w:val="00F0072F"/>
    <w:rsid w:val="00F01FEB"/>
    <w:rsid w:val="00F03552"/>
    <w:rsid w:val="00F0537B"/>
    <w:rsid w:val="00F0781F"/>
    <w:rsid w:val="00F10DEA"/>
    <w:rsid w:val="00F1189F"/>
    <w:rsid w:val="00F16B5C"/>
    <w:rsid w:val="00F308ED"/>
    <w:rsid w:val="00F3252C"/>
    <w:rsid w:val="00F33BE0"/>
    <w:rsid w:val="00F4214A"/>
    <w:rsid w:val="00F644F2"/>
    <w:rsid w:val="00F77143"/>
    <w:rsid w:val="00F8134D"/>
    <w:rsid w:val="00F82B48"/>
    <w:rsid w:val="00F8648C"/>
    <w:rsid w:val="00F92745"/>
    <w:rsid w:val="00F96690"/>
    <w:rsid w:val="00FA7A5B"/>
    <w:rsid w:val="00FA7E48"/>
    <w:rsid w:val="00FC08CB"/>
    <w:rsid w:val="00FC6B43"/>
    <w:rsid w:val="00FD1820"/>
    <w:rsid w:val="00FD427C"/>
    <w:rsid w:val="00FD5939"/>
    <w:rsid w:val="00FE046F"/>
    <w:rsid w:val="00FF40E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863C1"/>
  <w15:docId w15:val="{94F8236F-0CA4-4D5E-9EA5-F1AAF3D2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4BF"/>
    <w:pPr>
      <w:spacing w:line="240" w:lineRule="atLeast"/>
    </w:pPr>
    <w:rPr>
      <w:rFonts w:ascii="Georgia" w:hAnsi="Georgia"/>
      <w:szCs w:val="22"/>
      <w:lang w:eastAsia="en-US"/>
    </w:rPr>
  </w:style>
  <w:style w:type="paragraph" w:styleId="Heading1">
    <w:name w:val="heading 1"/>
    <w:basedOn w:val="Normal"/>
    <w:next w:val="Normal"/>
    <w:link w:val="Heading1Char"/>
    <w:qFormat/>
    <w:rsid w:val="003014BF"/>
    <w:pPr>
      <w:keepNext/>
      <w:spacing w:before="240" w:after="60" w:line="240" w:lineRule="auto"/>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3014B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14B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014BF"/>
  </w:style>
  <w:style w:type="paragraph" w:styleId="Footer">
    <w:name w:val="footer"/>
    <w:basedOn w:val="Normal"/>
    <w:link w:val="FooterChar"/>
    <w:uiPriority w:val="99"/>
    <w:unhideWhenUsed/>
    <w:rsid w:val="003014BF"/>
    <w:pPr>
      <w:tabs>
        <w:tab w:val="center" w:pos="4513"/>
        <w:tab w:val="right" w:pos="9026"/>
      </w:tabs>
      <w:spacing w:line="240" w:lineRule="auto"/>
    </w:pPr>
  </w:style>
  <w:style w:type="character" w:customStyle="1" w:styleId="FooterChar">
    <w:name w:val="Footer Char"/>
    <w:basedOn w:val="DefaultParagraphFont"/>
    <w:link w:val="Footer"/>
    <w:uiPriority w:val="99"/>
    <w:rsid w:val="003014BF"/>
  </w:style>
  <w:style w:type="paragraph" w:styleId="BodyText">
    <w:name w:val="Body Text"/>
    <w:basedOn w:val="Normal"/>
    <w:link w:val="BodyTextChar"/>
    <w:uiPriority w:val="99"/>
    <w:unhideWhenUsed/>
    <w:rsid w:val="003014BF"/>
    <w:pPr>
      <w:spacing w:after="240"/>
    </w:pPr>
  </w:style>
  <w:style w:type="character" w:customStyle="1" w:styleId="BodyTextChar">
    <w:name w:val="Body Text Char"/>
    <w:basedOn w:val="DefaultParagraphFont"/>
    <w:link w:val="BodyText"/>
    <w:uiPriority w:val="99"/>
    <w:rsid w:val="003014BF"/>
    <w:rPr>
      <w:rFonts w:ascii="Georgia" w:hAnsi="Georgia"/>
      <w:sz w:val="20"/>
    </w:rPr>
  </w:style>
  <w:style w:type="paragraph" w:styleId="Title">
    <w:name w:val="Title"/>
    <w:basedOn w:val="Normal"/>
    <w:next w:val="Normal"/>
    <w:link w:val="TitleChar"/>
    <w:uiPriority w:val="10"/>
    <w:qFormat/>
    <w:rsid w:val="003014BF"/>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3014BF"/>
    <w:rPr>
      <w:rFonts w:ascii="Cambria" w:eastAsia="Times New Roman" w:hAnsi="Cambria" w:cs="Times New Roman"/>
      <w:b/>
      <w:i/>
      <w:color w:val="000000"/>
      <w:spacing w:val="5"/>
      <w:kern w:val="28"/>
      <w:sz w:val="24"/>
      <w:szCs w:val="52"/>
    </w:rPr>
  </w:style>
  <w:style w:type="paragraph" w:customStyle="1" w:styleId="Address">
    <w:name w:val="Address"/>
    <w:basedOn w:val="Normal"/>
    <w:link w:val="AddressChar"/>
    <w:rsid w:val="003014BF"/>
    <w:pPr>
      <w:spacing w:line="200" w:lineRule="atLeast"/>
    </w:pPr>
    <w:rPr>
      <w:i/>
      <w:sz w:val="18"/>
    </w:rPr>
  </w:style>
  <w:style w:type="character" w:customStyle="1" w:styleId="AddressChar">
    <w:name w:val="Address Char"/>
    <w:basedOn w:val="DefaultParagraphFont"/>
    <w:link w:val="Address"/>
    <w:rsid w:val="003014BF"/>
    <w:rPr>
      <w:rFonts w:ascii="Georgia" w:hAnsi="Georgia"/>
      <w:i/>
      <w:sz w:val="18"/>
    </w:rPr>
  </w:style>
  <w:style w:type="paragraph" w:customStyle="1" w:styleId="Disclaimer">
    <w:name w:val="Disclaimer"/>
    <w:basedOn w:val="Normal"/>
    <w:link w:val="DisclaimerChar"/>
    <w:rsid w:val="003014BF"/>
    <w:pPr>
      <w:spacing w:line="140" w:lineRule="atLeast"/>
    </w:pPr>
    <w:rPr>
      <w:rFonts w:ascii="Arial" w:hAnsi="Arial" w:cs="Arial"/>
      <w:sz w:val="12"/>
    </w:rPr>
  </w:style>
  <w:style w:type="character" w:customStyle="1" w:styleId="DisclaimerChar">
    <w:name w:val="Disclaimer Char"/>
    <w:basedOn w:val="DefaultParagraphFont"/>
    <w:link w:val="Disclaimer"/>
    <w:rsid w:val="003014BF"/>
    <w:rPr>
      <w:rFonts w:ascii="Arial" w:hAnsi="Arial" w:cs="Arial"/>
      <w:sz w:val="12"/>
    </w:rPr>
  </w:style>
  <w:style w:type="character" w:customStyle="1" w:styleId="Heading1Char">
    <w:name w:val="Heading 1 Char"/>
    <w:basedOn w:val="DefaultParagraphFont"/>
    <w:link w:val="Heading1"/>
    <w:rsid w:val="003014BF"/>
    <w:rPr>
      <w:rFonts w:ascii="Cambria" w:eastAsia="Times New Roman" w:hAnsi="Cambria" w:cs="Times New Roman"/>
      <w:b/>
      <w:bCs/>
      <w:kern w:val="32"/>
      <w:sz w:val="32"/>
      <w:szCs w:val="32"/>
    </w:rPr>
  </w:style>
  <w:style w:type="paragraph" w:customStyle="1" w:styleId="ReleaseBodyText">
    <w:name w:val="Release Body Text"/>
    <w:rsid w:val="003014BF"/>
    <w:rPr>
      <w:rFonts w:ascii="Arial" w:eastAsia="Times New Roman" w:hAnsi="Arial" w:cs="Arial"/>
      <w:lang w:eastAsia="en-US"/>
    </w:rPr>
  </w:style>
  <w:style w:type="paragraph" w:customStyle="1" w:styleId="Heading">
    <w:name w:val="Heading"/>
    <w:basedOn w:val="Normal"/>
    <w:rsid w:val="003014BF"/>
    <w:pPr>
      <w:spacing w:line="240" w:lineRule="auto"/>
    </w:pPr>
    <w:rPr>
      <w:rFonts w:ascii="Arial" w:eastAsia="Times New Roman" w:hAnsi="Arial"/>
      <w:b/>
      <w:sz w:val="24"/>
      <w:szCs w:val="20"/>
    </w:rPr>
  </w:style>
  <w:style w:type="paragraph" w:styleId="ListParagraph">
    <w:name w:val="List Paragraph"/>
    <w:basedOn w:val="Normal"/>
    <w:uiPriority w:val="34"/>
    <w:unhideWhenUsed/>
    <w:qFormat/>
    <w:rsid w:val="003014BF"/>
    <w:pPr>
      <w:spacing w:after="240"/>
      <w:ind w:left="720"/>
      <w:contextualSpacing/>
    </w:pPr>
    <w:rPr>
      <w:rFonts w:ascii="Calibri" w:eastAsia="Times New Roman" w:hAnsi="Calibri"/>
      <w:color w:val="000000"/>
      <w:sz w:val="21"/>
      <w:szCs w:val="21"/>
      <w:lang w:eastAsia="zh-CN"/>
    </w:rPr>
  </w:style>
  <w:style w:type="character" w:customStyle="1" w:styleId="fullstory">
    <w:name w:val="fullstory"/>
    <w:basedOn w:val="DefaultParagraphFont"/>
    <w:rsid w:val="003014BF"/>
  </w:style>
  <w:style w:type="paragraph" w:customStyle="1" w:styleId="ListNumbered">
    <w:name w:val="List Numbered"/>
    <w:basedOn w:val="Normal"/>
    <w:rsid w:val="003014BF"/>
    <w:pPr>
      <w:numPr>
        <w:numId w:val="4"/>
      </w:numPr>
      <w:spacing w:line="240" w:lineRule="auto"/>
    </w:pPr>
    <w:rPr>
      <w:rFonts w:ascii="Arial" w:eastAsia="Times New Roman" w:hAnsi="Arial" w:cs="Arial"/>
      <w:szCs w:val="20"/>
    </w:rPr>
  </w:style>
  <w:style w:type="character" w:customStyle="1" w:styleId="Heading3Char">
    <w:name w:val="Heading 3 Char"/>
    <w:basedOn w:val="DefaultParagraphFont"/>
    <w:link w:val="Heading3"/>
    <w:uiPriority w:val="9"/>
    <w:semiHidden/>
    <w:rsid w:val="003014BF"/>
    <w:rPr>
      <w:rFonts w:ascii="Cambria" w:eastAsia="Times New Roman" w:hAnsi="Cambria" w:cs="Times New Roman"/>
      <w:b/>
      <w:bCs/>
      <w:sz w:val="26"/>
      <w:szCs w:val="26"/>
      <w:lang w:eastAsia="en-US"/>
    </w:rPr>
  </w:style>
  <w:style w:type="character" w:styleId="Hyperlink">
    <w:name w:val="Hyperlink"/>
    <w:basedOn w:val="DefaultParagraphFont"/>
    <w:uiPriority w:val="99"/>
    <w:unhideWhenUsed/>
    <w:rsid w:val="003014BF"/>
    <w:rPr>
      <w:strike w:val="0"/>
      <w:dstrike w:val="0"/>
      <w:color w:val="0097DC"/>
      <w:u w:val="none"/>
      <w:effect w:val="none"/>
    </w:rPr>
  </w:style>
  <w:style w:type="character" w:styleId="Strong">
    <w:name w:val="Strong"/>
    <w:basedOn w:val="DefaultParagraphFont"/>
    <w:uiPriority w:val="22"/>
    <w:qFormat/>
    <w:rsid w:val="003014BF"/>
    <w:rPr>
      <w:b/>
      <w:bCs/>
    </w:rPr>
  </w:style>
  <w:style w:type="character" w:customStyle="1" w:styleId="date-display-single">
    <w:name w:val="date-display-single"/>
    <w:basedOn w:val="DefaultParagraphFont"/>
    <w:rsid w:val="003014BF"/>
  </w:style>
  <w:style w:type="character" w:customStyle="1" w:styleId="date-display-start">
    <w:name w:val="date-display-start"/>
    <w:basedOn w:val="DefaultParagraphFont"/>
    <w:rsid w:val="003014BF"/>
  </w:style>
  <w:style w:type="character" w:customStyle="1" w:styleId="date-display-end">
    <w:name w:val="date-display-end"/>
    <w:basedOn w:val="DefaultParagraphFont"/>
    <w:rsid w:val="003014BF"/>
  </w:style>
  <w:style w:type="character" w:customStyle="1" w:styleId="date-display-separator">
    <w:name w:val="date-display-separator"/>
    <w:basedOn w:val="DefaultParagraphFont"/>
    <w:rsid w:val="003014BF"/>
  </w:style>
  <w:style w:type="character" w:customStyle="1" w:styleId="field-content2">
    <w:name w:val="field-content2"/>
    <w:basedOn w:val="DefaultParagraphFont"/>
    <w:rsid w:val="003014BF"/>
  </w:style>
  <w:style w:type="character" w:styleId="CommentReference">
    <w:name w:val="annotation reference"/>
    <w:basedOn w:val="DefaultParagraphFont"/>
    <w:uiPriority w:val="99"/>
    <w:semiHidden/>
    <w:unhideWhenUsed/>
    <w:rsid w:val="003014BF"/>
    <w:rPr>
      <w:sz w:val="16"/>
      <w:szCs w:val="16"/>
    </w:rPr>
  </w:style>
  <w:style w:type="paragraph" w:styleId="CommentText">
    <w:name w:val="annotation text"/>
    <w:basedOn w:val="Normal"/>
    <w:link w:val="CommentTextChar"/>
    <w:uiPriority w:val="99"/>
    <w:unhideWhenUsed/>
    <w:rsid w:val="003014BF"/>
    <w:rPr>
      <w:szCs w:val="20"/>
    </w:rPr>
  </w:style>
  <w:style w:type="character" w:customStyle="1" w:styleId="CommentTextChar">
    <w:name w:val="Comment Text Char"/>
    <w:basedOn w:val="DefaultParagraphFont"/>
    <w:link w:val="CommentText"/>
    <w:uiPriority w:val="99"/>
    <w:rsid w:val="003014BF"/>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3014BF"/>
    <w:rPr>
      <w:b/>
      <w:bCs/>
    </w:rPr>
  </w:style>
  <w:style w:type="character" w:customStyle="1" w:styleId="CommentSubjectChar">
    <w:name w:val="Comment Subject Char"/>
    <w:basedOn w:val="CommentTextChar"/>
    <w:link w:val="CommentSubject"/>
    <w:uiPriority w:val="99"/>
    <w:semiHidden/>
    <w:rsid w:val="003014BF"/>
    <w:rPr>
      <w:rFonts w:ascii="Georgia" w:hAnsi="Georgia"/>
      <w:b/>
      <w:bCs/>
      <w:lang w:eastAsia="en-US"/>
    </w:rPr>
  </w:style>
  <w:style w:type="paragraph" w:styleId="BalloonText">
    <w:name w:val="Balloon Text"/>
    <w:basedOn w:val="Normal"/>
    <w:link w:val="BalloonTextChar"/>
    <w:uiPriority w:val="99"/>
    <w:semiHidden/>
    <w:unhideWhenUsed/>
    <w:rsid w:val="003014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BF"/>
    <w:rPr>
      <w:rFonts w:ascii="Tahoma" w:hAnsi="Tahoma" w:cs="Tahoma"/>
      <w:sz w:val="16"/>
      <w:szCs w:val="16"/>
      <w:lang w:eastAsia="en-US"/>
    </w:rPr>
  </w:style>
  <w:style w:type="character" w:customStyle="1" w:styleId="at5">
    <w:name w:val="a__t5"/>
    <w:basedOn w:val="DefaultParagraphFont"/>
    <w:rsid w:val="003014BF"/>
  </w:style>
  <w:style w:type="paragraph" w:customStyle="1" w:styleId="PIText">
    <w:name w:val="PI Text"/>
    <w:basedOn w:val="BodyTextIndent"/>
    <w:link w:val="PITextZchn"/>
    <w:rsid w:val="003014BF"/>
    <w:pPr>
      <w:spacing w:after="0" w:line="360" w:lineRule="auto"/>
      <w:ind w:left="0" w:right="-2"/>
      <w:jc w:val="both"/>
    </w:pPr>
    <w:rPr>
      <w:rFonts w:ascii="Univers" w:eastAsia="Times New Roman" w:hAnsi="Univers"/>
      <w:sz w:val="22"/>
      <w:szCs w:val="24"/>
      <w:lang w:val="de-DE" w:eastAsia="de-DE"/>
    </w:rPr>
  </w:style>
  <w:style w:type="character" w:customStyle="1" w:styleId="PITextZchn">
    <w:name w:val="PI Text Zchn"/>
    <w:basedOn w:val="DefaultParagraphFont"/>
    <w:link w:val="PIText"/>
    <w:locked/>
    <w:rsid w:val="003014BF"/>
    <w:rPr>
      <w:rFonts w:ascii="Univers" w:eastAsia="Times New Roman" w:hAnsi="Univers"/>
      <w:sz w:val="22"/>
      <w:szCs w:val="24"/>
      <w:lang w:val="de-DE" w:eastAsia="de-DE"/>
    </w:rPr>
  </w:style>
  <w:style w:type="paragraph" w:styleId="BodyTextIndent">
    <w:name w:val="Body Text Indent"/>
    <w:basedOn w:val="Normal"/>
    <w:link w:val="BodyTextIndentChar"/>
    <w:uiPriority w:val="99"/>
    <w:semiHidden/>
    <w:unhideWhenUsed/>
    <w:rsid w:val="003014BF"/>
    <w:pPr>
      <w:spacing w:after="120"/>
      <w:ind w:left="283"/>
    </w:pPr>
  </w:style>
  <w:style w:type="character" w:customStyle="1" w:styleId="BodyTextIndentChar">
    <w:name w:val="Body Text Indent Char"/>
    <w:basedOn w:val="DefaultParagraphFont"/>
    <w:link w:val="BodyTextIndent"/>
    <w:uiPriority w:val="99"/>
    <w:semiHidden/>
    <w:rsid w:val="003014BF"/>
    <w:rPr>
      <w:rFonts w:ascii="Georgia" w:hAnsi="Georgia"/>
      <w:szCs w:val="22"/>
      <w:lang w:eastAsia="en-US"/>
    </w:rPr>
  </w:style>
  <w:style w:type="paragraph" w:styleId="Quote">
    <w:name w:val="Quote"/>
    <w:basedOn w:val="ReleaseBodyText"/>
    <w:link w:val="QuoteChar"/>
    <w:qFormat/>
    <w:rsid w:val="003014BF"/>
    <w:pPr>
      <w:ind w:left="540"/>
    </w:pPr>
  </w:style>
  <w:style w:type="character" w:customStyle="1" w:styleId="QuoteChar">
    <w:name w:val="Quote Char"/>
    <w:basedOn w:val="DefaultParagraphFont"/>
    <w:link w:val="Quote"/>
    <w:rsid w:val="003014BF"/>
    <w:rPr>
      <w:rFonts w:ascii="Arial" w:eastAsia="Times New Roman" w:hAnsi="Arial" w:cs="Arial"/>
      <w:lang w:eastAsia="en-US"/>
    </w:rPr>
  </w:style>
  <w:style w:type="paragraph" w:customStyle="1" w:styleId="Listsub-heading">
    <w:name w:val="List sub-heading"/>
    <w:basedOn w:val="Normal"/>
    <w:rsid w:val="003014BF"/>
    <w:pPr>
      <w:spacing w:line="240" w:lineRule="auto"/>
    </w:pPr>
    <w:rPr>
      <w:rFonts w:ascii="Arial" w:eastAsia="Times New Roman" w:hAnsi="Arial" w:cs="Arial"/>
      <w:b/>
      <w:i/>
      <w:szCs w:val="20"/>
    </w:rPr>
  </w:style>
  <w:style w:type="paragraph" w:customStyle="1" w:styleId="ListBullet1">
    <w:name w:val="List Bullet1"/>
    <w:basedOn w:val="Normal"/>
    <w:rsid w:val="003014BF"/>
    <w:pPr>
      <w:numPr>
        <w:numId w:val="19"/>
      </w:numPr>
      <w:spacing w:line="240" w:lineRule="auto"/>
    </w:pPr>
    <w:rPr>
      <w:rFonts w:ascii="Arial" w:eastAsia="Times New Roman" w:hAnsi="Arial" w:cs="Arial"/>
      <w:szCs w:val="20"/>
    </w:rPr>
  </w:style>
  <w:style w:type="paragraph" w:styleId="NormalWeb">
    <w:name w:val="Normal (Web)"/>
    <w:basedOn w:val="Normal"/>
    <w:uiPriority w:val="99"/>
    <w:unhideWhenUsed/>
    <w:rsid w:val="003014BF"/>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B915A4"/>
    <w:rPr>
      <w:color w:val="800080" w:themeColor="followedHyperlink"/>
      <w:u w:val="single"/>
    </w:rPr>
  </w:style>
  <w:style w:type="paragraph" w:customStyle="1" w:styleId="Default">
    <w:name w:val="Default"/>
    <w:rsid w:val="000C6668"/>
    <w:pPr>
      <w:autoSpaceDE w:val="0"/>
      <w:autoSpaceDN w:val="0"/>
      <w:adjustRightInd w:val="0"/>
    </w:pPr>
    <w:rPr>
      <w:rFonts w:ascii="Georgia" w:eastAsiaTheme="minorHAnsi" w:hAnsi="Georgia" w:cs="Georgia"/>
      <w:color w:val="000000"/>
      <w:sz w:val="24"/>
      <w:szCs w:val="24"/>
      <w:lang w:val="en-US" w:eastAsia="en-US"/>
    </w:rPr>
  </w:style>
  <w:style w:type="character" w:customStyle="1" w:styleId="apple-converted-space">
    <w:name w:val="apple-converted-space"/>
    <w:basedOn w:val="DefaultParagraphFont"/>
    <w:rsid w:val="00EF5FE9"/>
  </w:style>
  <w:style w:type="character" w:styleId="Emphasis">
    <w:name w:val="Emphasis"/>
    <w:basedOn w:val="DefaultParagraphFont"/>
    <w:hidden/>
    <w:uiPriority w:val="20"/>
    <w:qFormat/>
    <w:rsid w:val="00EA08F7"/>
    <w:rPr>
      <w:i/>
      <w:iCs/>
    </w:rPr>
  </w:style>
  <w:style w:type="paragraph" w:customStyle="1" w:styleId="BodySingle">
    <w:name w:val="Body Single"/>
    <w:basedOn w:val="BodyText"/>
    <w:link w:val="BodySingleChar"/>
    <w:qFormat/>
    <w:rsid w:val="004A77C1"/>
    <w:pPr>
      <w:spacing w:after="0"/>
    </w:pPr>
    <w:rPr>
      <w:rFonts w:eastAsiaTheme="minorHAnsi" w:cstheme="minorBidi"/>
      <w:szCs w:val="20"/>
    </w:rPr>
  </w:style>
  <w:style w:type="character" w:customStyle="1" w:styleId="BodySingleChar">
    <w:name w:val="Body Single Char"/>
    <w:basedOn w:val="BodyTextChar"/>
    <w:link w:val="BodySingle"/>
    <w:rsid w:val="004A77C1"/>
    <w:rPr>
      <w:rFonts w:ascii="Georgia" w:eastAsiaTheme="minorHAnsi" w:hAnsi="Georgia" w:cstheme="minorBid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66823">
      <w:bodyDiv w:val="1"/>
      <w:marLeft w:val="0"/>
      <w:marRight w:val="0"/>
      <w:marTop w:val="0"/>
      <w:marBottom w:val="0"/>
      <w:divBdr>
        <w:top w:val="none" w:sz="0" w:space="0" w:color="auto"/>
        <w:left w:val="none" w:sz="0" w:space="0" w:color="auto"/>
        <w:bottom w:val="none" w:sz="0" w:space="0" w:color="auto"/>
        <w:right w:val="none" w:sz="0" w:space="0" w:color="auto"/>
      </w:divBdr>
      <w:divsChild>
        <w:div w:id="1161501456">
          <w:marLeft w:val="0"/>
          <w:marRight w:val="0"/>
          <w:marTop w:val="375"/>
          <w:marBottom w:val="0"/>
          <w:divBdr>
            <w:top w:val="none" w:sz="0" w:space="0" w:color="auto"/>
            <w:left w:val="none" w:sz="0" w:space="0" w:color="auto"/>
            <w:bottom w:val="none" w:sz="0" w:space="0" w:color="auto"/>
            <w:right w:val="none" w:sz="0" w:space="0" w:color="auto"/>
          </w:divBdr>
          <w:divsChild>
            <w:div w:id="1557425355">
              <w:marLeft w:val="0"/>
              <w:marRight w:val="0"/>
              <w:marTop w:val="0"/>
              <w:marBottom w:val="0"/>
              <w:divBdr>
                <w:top w:val="none" w:sz="0" w:space="0" w:color="auto"/>
                <w:left w:val="none" w:sz="0" w:space="0" w:color="auto"/>
                <w:bottom w:val="none" w:sz="0" w:space="0" w:color="auto"/>
                <w:right w:val="none" w:sz="0" w:space="0" w:color="auto"/>
              </w:divBdr>
              <w:divsChild>
                <w:div w:id="132479794">
                  <w:marLeft w:val="0"/>
                  <w:marRight w:val="0"/>
                  <w:marTop w:val="0"/>
                  <w:marBottom w:val="0"/>
                  <w:divBdr>
                    <w:top w:val="none" w:sz="0" w:space="0" w:color="auto"/>
                    <w:left w:val="none" w:sz="0" w:space="0" w:color="auto"/>
                    <w:bottom w:val="none" w:sz="0" w:space="0" w:color="auto"/>
                    <w:right w:val="none" w:sz="0" w:space="0" w:color="auto"/>
                  </w:divBdr>
                  <w:divsChild>
                    <w:div w:id="1467166847">
                      <w:marLeft w:val="0"/>
                      <w:marRight w:val="0"/>
                      <w:marTop w:val="0"/>
                      <w:marBottom w:val="0"/>
                      <w:divBdr>
                        <w:top w:val="none" w:sz="0" w:space="0" w:color="auto"/>
                        <w:left w:val="none" w:sz="0" w:space="0" w:color="auto"/>
                        <w:bottom w:val="none" w:sz="0" w:space="0" w:color="auto"/>
                        <w:right w:val="none" w:sz="0" w:space="0" w:color="auto"/>
                      </w:divBdr>
                      <w:divsChild>
                        <w:div w:id="575941641">
                          <w:marLeft w:val="150"/>
                          <w:marRight w:val="0"/>
                          <w:marTop w:val="0"/>
                          <w:marBottom w:val="0"/>
                          <w:divBdr>
                            <w:top w:val="none" w:sz="0" w:space="0" w:color="auto"/>
                            <w:left w:val="none" w:sz="0" w:space="0" w:color="auto"/>
                            <w:bottom w:val="none" w:sz="0" w:space="0" w:color="auto"/>
                            <w:right w:val="none" w:sz="0" w:space="0" w:color="auto"/>
                          </w:divBdr>
                          <w:divsChild>
                            <w:div w:id="1929076477">
                              <w:marLeft w:val="0"/>
                              <w:marRight w:val="0"/>
                              <w:marTop w:val="0"/>
                              <w:marBottom w:val="0"/>
                              <w:divBdr>
                                <w:top w:val="none" w:sz="0" w:space="0" w:color="auto"/>
                                <w:left w:val="none" w:sz="0" w:space="0" w:color="auto"/>
                                <w:bottom w:val="none" w:sz="0" w:space="0" w:color="auto"/>
                                <w:right w:val="none" w:sz="0" w:space="0" w:color="auto"/>
                              </w:divBdr>
                              <w:divsChild>
                                <w:div w:id="1488089119">
                                  <w:marLeft w:val="0"/>
                                  <w:marRight w:val="0"/>
                                  <w:marTop w:val="0"/>
                                  <w:marBottom w:val="0"/>
                                  <w:divBdr>
                                    <w:top w:val="none" w:sz="0" w:space="0" w:color="auto"/>
                                    <w:left w:val="none" w:sz="0" w:space="0" w:color="auto"/>
                                    <w:bottom w:val="none" w:sz="0" w:space="0" w:color="auto"/>
                                    <w:right w:val="none" w:sz="0" w:space="0" w:color="auto"/>
                                  </w:divBdr>
                                  <w:divsChild>
                                    <w:div w:id="1719359213">
                                      <w:marLeft w:val="0"/>
                                      <w:marRight w:val="0"/>
                                      <w:marTop w:val="0"/>
                                      <w:marBottom w:val="0"/>
                                      <w:divBdr>
                                        <w:top w:val="none" w:sz="0" w:space="0" w:color="auto"/>
                                        <w:left w:val="none" w:sz="0" w:space="0" w:color="auto"/>
                                        <w:bottom w:val="none" w:sz="0" w:space="0" w:color="auto"/>
                                        <w:right w:val="none" w:sz="0" w:space="0" w:color="auto"/>
                                      </w:divBdr>
                                      <w:divsChild>
                                        <w:div w:id="799956768">
                                          <w:marLeft w:val="0"/>
                                          <w:marRight w:val="0"/>
                                          <w:marTop w:val="0"/>
                                          <w:marBottom w:val="0"/>
                                          <w:divBdr>
                                            <w:top w:val="none" w:sz="0" w:space="0" w:color="auto"/>
                                            <w:left w:val="none" w:sz="0" w:space="0" w:color="auto"/>
                                            <w:bottom w:val="single" w:sz="6" w:space="8" w:color="D8D4D0"/>
                                            <w:right w:val="none" w:sz="0" w:space="0" w:color="auto"/>
                                          </w:divBdr>
                                          <w:divsChild>
                                            <w:div w:id="54941053">
                                              <w:marLeft w:val="0"/>
                                              <w:marRight w:val="0"/>
                                              <w:marTop w:val="0"/>
                                              <w:marBottom w:val="0"/>
                                              <w:divBdr>
                                                <w:top w:val="none" w:sz="0" w:space="0" w:color="auto"/>
                                                <w:left w:val="none" w:sz="0" w:space="0" w:color="auto"/>
                                                <w:bottom w:val="none" w:sz="0" w:space="0" w:color="auto"/>
                                                <w:right w:val="none" w:sz="0" w:space="0" w:color="auto"/>
                                              </w:divBdr>
                                            </w:div>
                                            <w:div w:id="344326605">
                                              <w:marLeft w:val="0"/>
                                              <w:marRight w:val="0"/>
                                              <w:marTop w:val="0"/>
                                              <w:marBottom w:val="0"/>
                                              <w:divBdr>
                                                <w:top w:val="none" w:sz="0" w:space="0" w:color="auto"/>
                                                <w:left w:val="none" w:sz="0" w:space="0" w:color="auto"/>
                                                <w:bottom w:val="none" w:sz="0" w:space="0" w:color="auto"/>
                                                <w:right w:val="none" w:sz="0" w:space="0" w:color="auto"/>
                                              </w:divBdr>
                                            </w:div>
                                            <w:div w:id="672801690">
                                              <w:marLeft w:val="0"/>
                                              <w:marRight w:val="0"/>
                                              <w:marTop w:val="120"/>
                                              <w:marBottom w:val="0"/>
                                              <w:divBdr>
                                                <w:top w:val="none" w:sz="0" w:space="0" w:color="auto"/>
                                                <w:left w:val="none" w:sz="0" w:space="0" w:color="auto"/>
                                                <w:bottom w:val="none" w:sz="0" w:space="0" w:color="auto"/>
                                                <w:right w:val="none" w:sz="0" w:space="0" w:color="auto"/>
                                              </w:divBdr>
                                            </w:div>
                                            <w:div w:id="828131109">
                                              <w:marLeft w:val="0"/>
                                              <w:marRight w:val="150"/>
                                              <w:marTop w:val="0"/>
                                              <w:marBottom w:val="0"/>
                                              <w:divBdr>
                                                <w:top w:val="none" w:sz="0" w:space="0" w:color="auto"/>
                                                <w:left w:val="none" w:sz="0" w:space="0" w:color="auto"/>
                                                <w:bottom w:val="none" w:sz="0" w:space="0" w:color="auto"/>
                                                <w:right w:val="single" w:sz="6" w:space="8" w:color="63513F"/>
                                              </w:divBdr>
                                            </w:div>
                                            <w:div w:id="833228146">
                                              <w:marLeft w:val="0"/>
                                              <w:marRight w:val="0"/>
                                              <w:marTop w:val="0"/>
                                              <w:marBottom w:val="0"/>
                                              <w:divBdr>
                                                <w:top w:val="none" w:sz="0" w:space="0" w:color="auto"/>
                                                <w:left w:val="none" w:sz="0" w:space="0" w:color="auto"/>
                                                <w:bottom w:val="none" w:sz="0" w:space="0" w:color="auto"/>
                                                <w:right w:val="none" w:sz="0" w:space="0" w:color="auto"/>
                                              </w:divBdr>
                                            </w:div>
                                            <w:div w:id="927690585">
                                              <w:marLeft w:val="0"/>
                                              <w:marRight w:val="0"/>
                                              <w:marTop w:val="150"/>
                                              <w:marBottom w:val="75"/>
                                              <w:divBdr>
                                                <w:top w:val="none" w:sz="0" w:space="0" w:color="auto"/>
                                                <w:left w:val="none" w:sz="0" w:space="0" w:color="auto"/>
                                                <w:bottom w:val="none" w:sz="0" w:space="0" w:color="auto"/>
                                                <w:right w:val="none" w:sz="0" w:space="0" w:color="auto"/>
                                              </w:divBdr>
                                            </w:div>
                                            <w:div w:id="970398329">
                                              <w:marLeft w:val="0"/>
                                              <w:marRight w:val="0"/>
                                              <w:marTop w:val="150"/>
                                              <w:marBottom w:val="75"/>
                                              <w:divBdr>
                                                <w:top w:val="none" w:sz="0" w:space="0" w:color="auto"/>
                                                <w:left w:val="none" w:sz="0" w:space="0" w:color="auto"/>
                                                <w:bottom w:val="none" w:sz="0" w:space="0" w:color="auto"/>
                                                <w:right w:val="none" w:sz="0" w:space="0" w:color="auto"/>
                                              </w:divBdr>
                                            </w:div>
                                            <w:div w:id="991178956">
                                              <w:marLeft w:val="0"/>
                                              <w:marRight w:val="150"/>
                                              <w:marTop w:val="0"/>
                                              <w:marBottom w:val="0"/>
                                              <w:divBdr>
                                                <w:top w:val="none" w:sz="0" w:space="0" w:color="auto"/>
                                                <w:left w:val="none" w:sz="0" w:space="0" w:color="auto"/>
                                                <w:bottom w:val="none" w:sz="0" w:space="0" w:color="auto"/>
                                                <w:right w:val="single" w:sz="6" w:space="8" w:color="63513F"/>
                                              </w:divBdr>
                                            </w:div>
                                            <w:div w:id="1382245788">
                                              <w:marLeft w:val="0"/>
                                              <w:marRight w:val="150"/>
                                              <w:marTop w:val="0"/>
                                              <w:marBottom w:val="0"/>
                                              <w:divBdr>
                                                <w:top w:val="none" w:sz="0" w:space="0" w:color="auto"/>
                                                <w:left w:val="none" w:sz="0" w:space="0" w:color="auto"/>
                                                <w:bottom w:val="none" w:sz="0" w:space="0" w:color="auto"/>
                                                <w:right w:val="single" w:sz="6" w:space="8" w:color="63513F"/>
                                              </w:divBdr>
                                            </w:div>
                                            <w:div w:id="1400984055">
                                              <w:marLeft w:val="0"/>
                                              <w:marRight w:val="150"/>
                                              <w:marTop w:val="0"/>
                                              <w:marBottom w:val="0"/>
                                              <w:divBdr>
                                                <w:top w:val="none" w:sz="0" w:space="0" w:color="auto"/>
                                                <w:left w:val="none" w:sz="0" w:space="0" w:color="auto"/>
                                                <w:bottom w:val="none" w:sz="0" w:space="0" w:color="auto"/>
                                                <w:right w:val="single" w:sz="6" w:space="8" w:color="63513F"/>
                                              </w:divBdr>
                                            </w:div>
                                            <w:div w:id="1698893396">
                                              <w:marLeft w:val="0"/>
                                              <w:marRight w:val="0"/>
                                              <w:marTop w:val="120"/>
                                              <w:marBottom w:val="0"/>
                                              <w:divBdr>
                                                <w:top w:val="none" w:sz="0" w:space="0" w:color="auto"/>
                                                <w:left w:val="none" w:sz="0" w:space="0" w:color="auto"/>
                                                <w:bottom w:val="none" w:sz="0" w:space="0" w:color="auto"/>
                                                <w:right w:val="none" w:sz="0" w:space="0" w:color="auto"/>
                                              </w:divBdr>
                                            </w:div>
                                            <w:div w:id="1720324249">
                                              <w:marLeft w:val="0"/>
                                              <w:marRight w:val="0"/>
                                              <w:marTop w:val="150"/>
                                              <w:marBottom w:val="75"/>
                                              <w:divBdr>
                                                <w:top w:val="none" w:sz="0" w:space="0" w:color="auto"/>
                                                <w:left w:val="none" w:sz="0" w:space="0" w:color="auto"/>
                                                <w:bottom w:val="none" w:sz="0" w:space="0" w:color="auto"/>
                                                <w:right w:val="none" w:sz="0" w:space="0" w:color="auto"/>
                                              </w:divBdr>
                                            </w:div>
                                            <w:div w:id="1844736403">
                                              <w:marLeft w:val="0"/>
                                              <w:marRight w:val="0"/>
                                              <w:marTop w:val="150"/>
                                              <w:marBottom w:val="75"/>
                                              <w:divBdr>
                                                <w:top w:val="none" w:sz="0" w:space="0" w:color="auto"/>
                                                <w:left w:val="none" w:sz="0" w:space="0" w:color="auto"/>
                                                <w:bottom w:val="none" w:sz="0" w:space="0" w:color="auto"/>
                                                <w:right w:val="none" w:sz="0" w:space="0" w:color="auto"/>
                                              </w:divBdr>
                                            </w:div>
                                            <w:div w:id="2143186316">
                                              <w:marLeft w:val="0"/>
                                              <w:marRight w:val="0"/>
                                              <w:marTop w:val="120"/>
                                              <w:marBottom w:val="0"/>
                                              <w:divBdr>
                                                <w:top w:val="none" w:sz="0" w:space="0" w:color="auto"/>
                                                <w:left w:val="none" w:sz="0" w:space="0" w:color="auto"/>
                                                <w:bottom w:val="none" w:sz="0" w:space="0" w:color="auto"/>
                                                <w:right w:val="none" w:sz="0" w:space="0" w:color="auto"/>
                                              </w:divBdr>
                                            </w:div>
                                            <w:div w:id="21443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95765">
      <w:bodyDiv w:val="1"/>
      <w:marLeft w:val="0"/>
      <w:marRight w:val="0"/>
      <w:marTop w:val="0"/>
      <w:marBottom w:val="0"/>
      <w:divBdr>
        <w:top w:val="none" w:sz="0" w:space="0" w:color="auto"/>
        <w:left w:val="none" w:sz="0" w:space="0" w:color="auto"/>
        <w:bottom w:val="none" w:sz="0" w:space="0" w:color="auto"/>
        <w:right w:val="none" w:sz="0" w:space="0" w:color="auto"/>
      </w:divBdr>
    </w:div>
    <w:div w:id="1843079614">
      <w:bodyDiv w:val="1"/>
      <w:marLeft w:val="0"/>
      <w:marRight w:val="0"/>
      <w:marTop w:val="0"/>
      <w:marBottom w:val="0"/>
      <w:divBdr>
        <w:top w:val="none" w:sz="0" w:space="0" w:color="auto"/>
        <w:left w:val="none" w:sz="0" w:space="0" w:color="auto"/>
        <w:bottom w:val="none" w:sz="0" w:space="0" w:color="auto"/>
        <w:right w:val="none" w:sz="0" w:space="0" w:color="auto"/>
      </w:divBdr>
      <w:divsChild>
        <w:div w:id="683634772">
          <w:marLeft w:val="0"/>
          <w:marRight w:val="0"/>
          <w:marTop w:val="0"/>
          <w:marBottom w:val="0"/>
          <w:divBdr>
            <w:top w:val="none" w:sz="0" w:space="0" w:color="auto"/>
            <w:left w:val="none" w:sz="0" w:space="0" w:color="auto"/>
            <w:bottom w:val="none" w:sz="0" w:space="0" w:color="auto"/>
            <w:right w:val="none" w:sz="0" w:space="0" w:color="auto"/>
          </w:divBdr>
          <w:divsChild>
            <w:div w:id="984890206">
              <w:marLeft w:val="0"/>
              <w:marRight w:val="0"/>
              <w:marTop w:val="0"/>
              <w:marBottom w:val="0"/>
              <w:divBdr>
                <w:top w:val="none" w:sz="0" w:space="0" w:color="auto"/>
                <w:left w:val="none" w:sz="0" w:space="0" w:color="auto"/>
                <w:bottom w:val="none" w:sz="0" w:space="0" w:color="auto"/>
                <w:right w:val="none" w:sz="0" w:space="0" w:color="auto"/>
              </w:divBdr>
              <w:divsChild>
                <w:div w:id="2140293533">
                  <w:marLeft w:val="0"/>
                  <w:marRight w:val="0"/>
                  <w:marTop w:val="0"/>
                  <w:marBottom w:val="0"/>
                  <w:divBdr>
                    <w:top w:val="none" w:sz="0" w:space="0" w:color="auto"/>
                    <w:left w:val="none" w:sz="0" w:space="0" w:color="auto"/>
                    <w:bottom w:val="none" w:sz="0" w:space="0" w:color="auto"/>
                    <w:right w:val="none" w:sz="0" w:space="0" w:color="auto"/>
                  </w:divBdr>
                  <w:divsChild>
                    <w:div w:id="670835007">
                      <w:marLeft w:val="0"/>
                      <w:marRight w:val="125"/>
                      <w:marTop w:val="0"/>
                      <w:marBottom w:val="0"/>
                      <w:divBdr>
                        <w:top w:val="none" w:sz="0" w:space="0" w:color="auto"/>
                        <w:left w:val="none" w:sz="0" w:space="0" w:color="auto"/>
                        <w:bottom w:val="none" w:sz="0" w:space="0" w:color="auto"/>
                        <w:right w:val="none" w:sz="0" w:space="0" w:color="auto"/>
                      </w:divBdr>
                      <w:divsChild>
                        <w:div w:id="3055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ost.blankenspoor@nl.pwc.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wc.com/structu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w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wc.com/gx/en/industries/financial-services/publications/geared-up-for-growth.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wc.com/projectblu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ngdale\AppData\Local\Microsoft\Windows\Temporary%20Internet%20Files\Content.Outlook\QVFKR2U3\News%20release%20a4%20no%20disclaim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EE6C5-F0F8-4749-AC8B-C0180276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a4 no disclaimer colour.dotx</Template>
  <TotalTime>71</TotalTime>
  <Pages>1</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9061</CharactersWithSpaces>
  <SharedDoc>false</SharedDoc>
  <HLinks>
    <vt:vector size="6" baseType="variant">
      <vt:variant>
        <vt:i4>6488149</vt:i4>
      </vt:variant>
      <vt:variant>
        <vt:i4>0</vt:i4>
      </vt:variant>
      <vt:variant>
        <vt:i4>0</vt:i4>
      </vt:variant>
      <vt:variant>
        <vt:i4>5</vt:i4>
      </vt:variant>
      <vt:variant>
        <vt:lpwstr>mailto:rowena.mearley@uk.pwc.com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Martyn Hollingdale</dc:creator>
  <cp:lastModifiedBy>Blankenspoor, Joost</cp:lastModifiedBy>
  <cp:revision>6</cp:revision>
  <cp:lastPrinted>2016-04-27T12:47:00Z</cp:lastPrinted>
  <dcterms:created xsi:type="dcterms:W3CDTF">2016-12-15T11:59:00Z</dcterms:created>
  <dcterms:modified xsi:type="dcterms:W3CDTF">2017-01-05T16:28:00Z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