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76" w:rsidRDefault="001D1376">
      <w:pPr>
        <w:spacing w:line="240" w:lineRule="auto"/>
        <w:rPr>
          <w:sz w:val="24"/>
          <w:szCs w:val="24"/>
        </w:rPr>
      </w:pPr>
    </w:p>
    <w:p w:rsidR="001D1376" w:rsidRDefault="001D1376">
      <w:pPr>
        <w:spacing w:line="240" w:lineRule="auto"/>
        <w:rPr>
          <w:sz w:val="24"/>
          <w:szCs w:val="24"/>
        </w:rPr>
      </w:pPr>
    </w:p>
    <w:p w:rsidR="001D1376" w:rsidRDefault="001D1376">
      <w:pPr>
        <w:spacing w:line="240" w:lineRule="auto"/>
        <w:rPr>
          <w:sz w:val="24"/>
          <w:szCs w:val="24"/>
        </w:rPr>
      </w:pPr>
    </w:p>
    <w:p w:rsidR="001D1376" w:rsidRDefault="001D1376">
      <w:pPr>
        <w:spacing w:line="240" w:lineRule="auto"/>
        <w:rPr>
          <w:sz w:val="24"/>
          <w:szCs w:val="24"/>
        </w:rPr>
      </w:pPr>
    </w:p>
    <w:p w:rsidR="00734D7A" w:rsidRPr="002D01FB" w:rsidRDefault="00734D7A">
      <w:pPr>
        <w:spacing w:line="240" w:lineRule="auto"/>
        <w:rPr>
          <w:sz w:val="24"/>
          <w:szCs w:val="24"/>
        </w:rPr>
      </w:pPr>
    </w:p>
    <w:p w:rsidR="00734D7A" w:rsidRDefault="003B31B9">
      <w:pPr>
        <w:pStyle w:val="Title"/>
        <w:spacing w:after="0"/>
        <w:rPr>
          <w:rFonts w:ascii="Georgia" w:hAnsi="Georgia"/>
          <w:szCs w:val="24"/>
        </w:rPr>
      </w:pPr>
      <w:r w:rsidRPr="002D01FB">
        <w:rPr>
          <w:rFonts w:ascii="Georgia" w:hAnsi="Georgia"/>
          <w:szCs w:val="24"/>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4645"/>
      </w:tblGrid>
      <w:tr w:rsidR="00734D7A" w:rsidRPr="002D01FB">
        <w:tc>
          <w:tcPr>
            <w:tcW w:w="2268" w:type="dxa"/>
          </w:tcPr>
          <w:p w:rsidR="00734D7A" w:rsidRPr="006030AF" w:rsidRDefault="003B31B9">
            <w:pPr>
              <w:spacing w:line="240" w:lineRule="auto"/>
              <w:rPr>
                <w:i/>
                <w:sz w:val="22"/>
              </w:rPr>
            </w:pPr>
            <w:r w:rsidRPr="006030AF">
              <w:rPr>
                <w:i/>
                <w:sz w:val="22"/>
              </w:rPr>
              <w:t>Date</w:t>
            </w:r>
          </w:p>
        </w:tc>
        <w:tc>
          <w:tcPr>
            <w:tcW w:w="4645" w:type="dxa"/>
          </w:tcPr>
          <w:p w:rsidR="00734D7A" w:rsidRPr="006030AF" w:rsidRDefault="004B5CD0">
            <w:pPr>
              <w:spacing w:line="240" w:lineRule="auto"/>
              <w:rPr>
                <w:sz w:val="22"/>
              </w:rPr>
            </w:pPr>
            <w:r>
              <w:rPr>
                <w:sz w:val="22"/>
              </w:rPr>
              <w:t>Immediate release</w:t>
            </w:r>
          </w:p>
          <w:p w:rsidR="00734D7A" w:rsidRPr="006030AF" w:rsidRDefault="00734D7A">
            <w:pPr>
              <w:spacing w:line="240" w:lineRule="auto"/>
              <w:rPr>
                <w:sz w:val="22"/>
              </w:rPr>
            </w:pPr>
          </w:p>
        </w:tc>
      </w:tr>
      <w:tr w:rsidR="00734D7A" w:rsidRPr="00EC6CD4">
        <w:tc>
          <w:tcPr>
            <w:tcW w:w="2268" w:type="dxa"/>
          </w:tcPr>
          <w:p w:rsidR="00734D7A" w:rsidRPr="006030AF" w:rsidRDefault="003B31B9">
            <w:pPr>
              <w:spacing w:line="240" w:lineRule="auto"/>
              <w:rPr>
                <w:i/>
                <w:sz w:val="22"/>
              </w:rPr>
            </w:pPr>
            <w:r w:rsidRPr="006030AF">
              <w:rPr>
                <w:i/>
                <w:sz w:val="22"/>
              </w:rPr>
              <w:t>Contact</w:t>
            </w:r>
          </w:p>
        </w:tc>
        <w:tc>
          <w:tcPr>
            <w:tcW w:w="4645" w:type="dxa"/>
          </w:tcPr>
          <w:p w:rsidR="00734D7A" w:rsidRPr="006030AF" w:rsidRDefault="00F22F3A">
            <w:pPr>
              <w:tabs>
                <w:tab w:val="left" w:pos="1440"/>
              </w:tabs>
              <w:spacing w:line="240" w:lineRule="auto"/>
              <w:ind w:left="1440" w:hanging="1440"/>
              <w:rPr>
                <w:bCs/>
                <w:color w:val="000000"/>
                <w:sz w:val="22"/>
              </w:rPr>
            </w:pPr>
            <w:r>
              <w:rPr>
                <w:bCs/>
                <w:color w:val="000000"/>
                <w:sz w:val="22"/>
              </w:rPr>
              <w:t>Simon Reed</w:t>
            </w:r>
            <w:r w:rsidR="003B31B9" w:rsidRPr="006030AF">
              <w:rPr>
                <w:bCs/>
                <w:color w:val="000000"/>
                <w:sz w:val="22"/>
              </w:rPr>
              <w:t xml:space="preserve">, PwC </w:t>
            </w:r>
          </w:p>
          <w:p w:rsidR="00734D7A" w:rsidRPr="006030AF" w:rsidRDefault="00F22F3A">
            <w:pPr>
              <w:tabs>
                <w:tab w:val="left" w:pos="1440"/>
              </w:tabs>
              <w:spacing w:line="240" w:lineRule="auto"/>
              <w:rPr>
                <w:color w:val="000000"/>
                <w:sz w:val="22"/>
                <w:lang w:val="pt-BR"/>
              </w:rPr>
            </w:pPr>
            <w:r>
              <w:rPr>
                <w:color w:val="000000"/>
                <w:sz w:val="22"/>
                <w:lang w:val="pt-BR"/>
              </w:rPr>
              <w:t>+44 207 804 2836</w:t>
            </w:r>
          </w:p>
          <w:p w:rsidR="00734D7A" w:rsidRDefault="003B31B9" w:rsidP="008B5E0E">
            <w:pPr>
              <w:tabs>
                <w:tab w:val="left" w:pos="1440"/>
              </w:tabs>
              <w:spacing w:line="240" w:lineRule="auto"/>
              <w:rPr>
                <w:color w:val="000000"/>
                <w:sz w:val="22"/>
                <w:lang w:val="pt-BR"/>
              </w:rPr>
            </w:pPr>
            <w:r w:rsidRPr="006030AF">
              <w:rPr>
                <w:color w:val="000000"/>
                <w:sz w:val="22"/>
                <w:lang w:val="pt-BR"/>
              </w:rPr>
              <w:t xml:space="preserve">e-mail: </w:t>
            </w:r>
            <w:hyperlink r:id="rId9" w:history="1">
              <w:r w:rsidR="00EC6CD4" w:rsidRPr="00D86C12">
                <w:rPr>
                  <w:rStyle w:val="Hyperlink"/>
                  <w:sz w:val="22"/>
                  <w:lang w:val="pt-BR"/>
                </w:rPr>
                <w:t>simon.reed@uk.pwc.com</w:t>
              </w:r>
            </w:hyperlink>
          </w:p>
          <w:p w:rsidR="00EC6CD4" w:rsidRDefault="00EC6CD4" w:rsidP="00EC6CD4">
            <w:pPr>
              <w:rPr>
                <w:color w:val="000000" w:themeColor="text1"/>
              </w:rPr>
            </w:pPr>
          </w:p>
          <w:p w:rsidR="00EC6CD4" w:rsidRPr="00664438" w:rsidRDefault="00EC6CD4" w:rsidP="00EC6CD4">
            <w:r>
              <w:rPr>
                <w:color w:val="000000" w:themeColor="text1"/>
              </w:rPr>
              <w:t xml:space="preserve">More details: </w:t>
            </w:r>
            <w:r w:rsidRPr="00664438">
              <w:t xml:space="preserve"> </w:t>
            </w:r>
            <w:hyperlink r:id="rId10" w:history="1">
              <w:r w:rsidRPr="00AB700D">
                <w:rPr>
                  <w:rStyle w:val="Hyperlink"/>
                  <w:szCs w:val="20"/>
                  <w:lang w:val="en-US"/>
                </w:rPr>
                <w:t>www.pwc.com/gew</w:t>
              </w:r>
            </w:hyperlink>
          </w:p>
          <w:p w:rsidR="00EC6CD4" w:rsidRPr="00EC6CD4" w:rsidRDefault="00EC6CD4" w:rsidP="00EC6CD4">
            <w:pPr>
              <w:rPr>
                <w:color w:val="000000" w:themeColor="text1"/>
              </w:rPr>
            </w:pPr>
            <w:r w:rsidRPr="00664438">
              <w:rPr>
                <w:color w:val="000000" w:themeColor="text1"/>
              </w:rPr>
              <w:t>Follow/retweet: @</w:t>
            </w:r>
            <w:proofErr w:type="spellStart"/>
            <w:r w:rsidRPr="00664438">
              <w:rPr>
                <w:color w:val="000000" w:themeColor="text1"/>
              </w:rPr>
              <w:t>pwc_press</w:t>
            </w:r>
            <w:proofErr w:type="spellEnd"/>
          </w:p>
        </w:tc>
      </w:tr>
    </w:tbl>
    <w:p w:rsidR="00297219" w:rsidRPr="00EC6CD4" w:rsidRDefault="00297219" w:rsidP="00297219">
      <w:pPr>
        <w:spacing w:line="240" w:lineRule="auto"/>
        <w:rPr>
          <w:sz w:val="24"/>
          <w:szCs w:val="24"/>
          <w:lang w:val="en-US"/>
        </w:rPr>
      </w:pPr>
    </w:p>
    <w:p w:rsidR="00297219" w:rsidRPr="00EC6CD4" w:rsidRDefault="00297219" w:rsidP="003E6603">
      <w:pPr>
        <w:pStyle w:val="Title"/>
        <w:spacing w:after="0"/>
        <w:ind w:right="430"/>
        <w:rPr>
          <w:rFonts w:ascii="Georgia" w:hAnsi="Georgia"/>
          <w:szCs w:val="24"/>
          <w:lang w:val="en-US"/>
        </w:rPr>
      </w:pPr>
    </w:p>
    <w:p w:rsidR="00E96AC1" w:rsidRDefault="009B72DE" w:rsidP="00E96AC1">
      <w:pPr>
        <w:pStyle w:val="BodyText3"/>
        <w:spacing w:after="0"/>
        <w:ind w:right="790"/>
        <w:rPr>
          <w:b/>
          <w:bCs/>
          <w:iCs/>
          <w:sz w:val="24"/>
          <w:szCs w:val="24"/>
          <w:lang w:val="en-IN"/>
        </w:rPr>
      </w:pPr>
      <w:r>
        <w:rPr>
          <w:b/>
          <w:bCs/>
          <w:iCs/>
          <w:sz w:val="24"/>
          <w:szCs w:val="24"/>
          <w:lang w:val="en-IN"/>
        </w:rPr>
        <w:t>PwC econom</w:t>
      </w:r>
      <w:r w:rsidR="004B5CD0">
        <w:rPr>
          <w:b/>
          <w:bCs/>
          <w:iCs/>
          <w:sz w:val="24"/>
          <w:szCs w:val="24"/>
          <w:lang w:val="en-IN"/>
        </w:rPr>
        <w:t>ists reveal predictions for 2015</w:t>
      </w:r>
    </w:p>
    <w:p w:rsidR="009B72DE" w:rsidRDefault="009B72DE" w:rsidP="00E96AC1">
      <w:pPr>
        <w:pStyle w:val="BodyText3"/>
        <w:spacing w:after="0"/>
        <w:ind w:right="790"/>
        <w:rPr>
          <w:b/>
          <w:bCs/>
          <w:iCs/>
          <w:sz w:val="24"/>
          <w:szCs w:val="24"/>
          <w:lang w:val="en-IN"/>
        </w:rPr>
      </w:pPr>
    </w:p>
    <w:p w:rsidR="009B72DE" w:rsidRPr="00CC65DD" w:rsidRDefault="009B72DE" w:rsidP="009B72DE">
      <w:pPr>
        <w:pStyle w:val="BodyText3"/>
        <w:numPr>
          <w:ilvl w:val="0"/>
          <w:numId w:val="16"/>
        </w:numPr>
        <w:spacing w:after="0"/>
        <w:ind w:right="790"/>
        <w:rPr>
          <w:bCs/>
          <w:i/>
          <w:iCs/>
          <w:sz w:val="22"/>
          <w:szCs w:val="22"/>
          <w:lang w:val="en-IN"/>
        </w:rPr>
      </w:pPr>
      <w:r w:rsidRPr="00CC65DD">
        <w:rPr>
          <w:bCs/>
          <w:i/>
          <w:iCs/>
          <w:sz w:val="22"/>
          <w:szCs w:val="22"/>
          <w:lang w:val="en-IN"/>
        </w:rPr>
        <w:t>US to bounce back</w:t>
      </w:r>
    </w:p>
    <w:p w:rsidR="009B72DE" w:rsidRPr="00CC65DD" w:rsidRDefault="009B72DE" w:rsidP="009B72DE">
      <w:pPr>
        <w:pStyle w:val="BodyText3"/>
        <w:numPr>
          <w:ilvl w:val="0"/>
          <w:numId w:val="16"/>
        </w:numPr>
        <w:spacing w:after="0"/>
        <w:ind w:right="790"/>
        <w:rPr>
          <w:bCs/>
          <w:i/>
          <w:iCs/>
          <w:sz w:val="22"/>
          <w:szCs w:val="22"/>
          <w:lang w:val="en-IN"/>
        </w:rPr>
      </w:pPr>
      <w:r w:rsidRPr="00CC65DD">
        <w:rPr>
          <w:bCs/>
          <w:i/>
          <w:iCs/>
          <w:sz w:val="22"/>
          <w:szCs w:val="22"/>
          <w:lang w:val="en-IN"/>
        </w:rPr>
        <w:t>China to slow down</w:t>
      </w:r>
    </w:p>
    <w:p w:rsidR="009B72DE" w:rsidRPr="00CC65DD" w:rsidRDefault="00BE5B5C" w:rsidP="009B72DE">
      <w:pPr>
        <w:pStyle w:val="BodyText3"/>
        <w:numPr>
          <w:ilvl w:val="0"/>
          <w:numId w:val="16"/>
        </w:numPr>
        <w:spacing w:after="0"/>
        <w:ind w:right="790"/>
        <w:rPr>
          <w:bCs/>
          <w:i/>
          <w:iCs/>
          <w:sz w:val="22"/>
          <w:szCs w:val="22"/>
          <w:lang w:val="en-IN"/>
        </w:rPr>
      </w:pPr>
      <w:r w:rsidRPr="00CC65DD">
        <w:rPr>
          <w:bCs/>
          <w:i/>
          <w:iCs/>
          <w:sz w:val="22"/>
          <w:szCs w:val="22"/>
          <w:lang w:val="en-IN"/>
        </w:rPr>
        <w:t xml:space="preserve">Ailing </w:t>
      </w:r>
      <w:r w:rsidR="009B72DE" w:rsidRPr="00CC65DD">
        <w:rPr>
          <w:bCs/>
          <w:i/>
          <w:iCs/>
          <w:sz w:val="22"/>
          <w:szCs w:val="22"/>
          <w:lang w:val="en-IN"/>
        </w:rPr>
        <w:t>Eurozone to introduce QE</w:t>
      </w:r>
    </w:p>
    <w:p w:rsidR="009B72DE" w:rsidRPr="00CC65DD" w:rsidRDefault="009B72DE" w:rsidP="009B72DE">
      <w:pPr>
        <w:pStyle w:val="BodyText3"/>
        <w:numPr>
          <w:ilvl w:val="0"/>
          <w:numId w:val="16"/>
        </w:numPr>
        <w:spacing w:after="0"/>
        <w:ind w:right="790"/>
        <w:rPr>
          <w:bCs/>
          <w:i/>
          <w:iCs/>
          <w:sz w:val="22"/>
          <w:szCs w:val="22"/>
          <w:lang w:val="en-IN"/>
        </w:rPr>
      </w:pPr>
      <w:r w:rsidRPr="00CC65DD">
        <w:rPr>
          <w:bCs/>
          <w:i/>
          <w:iCs/>
          <w:sz w:val="22"/>
          <w:szCs w:val="22"/>
          <w:lang w:val="en-IN"/>
        </w:rPr>
        <w:t>India to turn corner</w:t>
      </w:r>
    </w:p>
    <w:p w:rsidR="009B72DE" w:rsidRPr="00CC65DD" w:rsidRDefault="009B72DE" w:rsidP="009B72DE">
      <w:pPr>
        <w:pStyle w:val="BodyText3"/>
        <w:numPr>
          <w:ilvl w:val="0"/>
          <w:numId w:val="16"/>
        </w:numPr>
        <w:spacing w:after="0"/>
        <w:ind w:right="790"/>
        <w:rPr>
          <w:bCs/>
          <w:i/>
          <w:iCs/>
          <w:sz w:val="22"/>
          <w:szCs w:val="22"/>
          <w:lang w:val="en-IN"/>
        </w:rPr>
      </w:pPr>
      <w:r w:rsidRPr="00CC65DD">
        <w:rPr>
          <w:bCs/>
          <w:i/>
          <w:iCs/>
          <w:sz w:val="22"/>
          <w:szCs w:val="22"/>
          <w:lang w:val="en-IN"/>
        </w:rPr>
        <w:t>Sub-Saharan Africa to continue to outpace global growth</w:t>
      </w:r>
    </w:p>
    <w:p w:rsidR="00734D7A" w:rsidRPr="002D01FB" w:rsidRDefault="00734D7A" w:rsidP="005E10F1">
      <w:pPr>
        <w:rPr>
          <w:sz w:val="24"/>
          <w:szCs w:val="24"/>
        </w:rPr>
      </w:pPr>
    </w:p>
    <w:p w:rsidR="00FE17E3" w:rsidRPr="00AB700D" w:rsidRDefault="006F7DDA"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A</w:t>
      </w:r>
      <w:r w:rsidR="003C2095">
        <w:rPr>
          <w:rFonts w:cs="Georgia"/>
          <w:color w:val="000000"/>
          <w:szCs w:val="20"/>
          <w:lang w:val="en-US"/>
        </w:rPr>
        <w:t xml:space="preserve">s we enter </w:t>
      </w:r>
      <w:r w:rsidR="00D15FAE">
        <w:rPr>
          <w:rFonts w:cs="Georgia"/>
          <w:color w:val="000000"/>
          <w:szCs w:val="20"/>
          <w:lang w:val="en-US"/>
        </w:rPr>
        <w:t>the</w:t>
      </w:r>
      <w:r w:rsidR="003C2095">
        <w:rPr>
          <w:rFonts w:cs="Georgia"/>
          <w:color w:val="000000"/>
          <w:szCs w:val="20"/>
          <w:lang w:val="en-US"/>
        </w:rPr>
        <w:t xml:space="preserve"> New Y</w:t>
      </w:r>
      <w:r>
        <w:rPr>
          <w:rFonts w:cs="Georgia"/>
          <w:color w:val="000000"/>
          <w:szCs w:val="20"/>
          <w:lang w:val="en-US"/>
        </w:rPr>
        <w:t xml:space="preserve">ear, PwC’s economists have once again </w:t>
      </w:r>
      <w:r w:rsidR="009237C4">
        <w:rPr>
          <w:rFonts w:cs="Georgia"/>
          <w:color w:val="000000"/>
          <w:szCs w:val="20"/>
          <w:lang w:val="en-US"/>
        </w:rPr>
        <w:t>peer</w:t>
      </w:r>
      <w:r w:rsidR="00B631F1">
        <w:rPr>
          <w:rFonts w:cs="Georgia"/>
          <w:color w:val="000000"/>
          <w:szCs w:val="20"/>
          <w:lang w:val="en-US"/>
        </w:rPr>
        <w:t>ed</w:t>
      </w:r>
      <w:r w:rsidR="009237C4">
        <w:rPr>
          <w:rFonts w:cs="Georgia"/>
          <w:color w:val="000000"/>
          <w:szCs w:val="20"/>
          <w:lang w:val="en-US"/>
        </w:rPr>
        <w:t xml:space="preserve"> into the </w:t>
      </w:r>
      <w:r>
        <w:rPr>
          <w:rFonts w:cs="Georgia"/>
          <w:color w:val="000000"/>
          <w:szCs w:val="20"/>
          <w:lang w:val="en-US"/>
        </w:rPr>
        <w:t>crystal ball to make</w:t>
      </w:r>
      <w:r w:rsidR="003C2095">
        <w:rPr>
          <w:rFonts w:cs="Georgia"/>
          <w:color w:val="000000"/>
          <w:szCs w:val="20"/>
          <w:lang w:val="en-US"/>
        </w:rPr>
        <w:t xml:space="preserve"> their top</w:t>
      </w:r>
      <w:r>
        <w:rPr>
          <w:rFonts w:cs="Georgia"/>
          <w:color w:val="000000"/>
          <w:szCs w:val="20"/>
          <w:lang w:val="en-US"/>
        </w:rPr>
        <w:t xml:space="preserve"> </w:t>
      </w:r>
      <w:r w:rsidR="003C2095">
        <w:rPr>
          <w:rFonts w:cs="Georgia"/>
          <w:color w:val="000000"/>
          <w:szCs w:val="20"/>
          <w:lang w:val="en-US"/>
        </w:rPr>
        <w:t xml:space="preserve">five </w:t>
      </w:r>
      <w:r>
        <w:rPr>
          <w:rFonts w:cs="Georgia"/>
          <w:color w:val="000000"/>
          <w:szCs w:val="20"/>
          <w:lang w:val="en-US"/>
        </w:rPr>
        <w:t>predictions</w:t>
      </w:r>
      <w:r w:rsidR="003C2095">
        <w:rPr>
          <w:rFonts w:cs="Georgia"/>
          <w:color w:val="000000"/>
          <w:szCs w:val="20"/>
          <w:lang w:val="en-US"/>
        </w:rPr>
        <w:t xml:space="preserve"> for 2015.</w:t>
      </w:r>
    </w:p>
    <w:p w:rsidR="00907C2C" w:rsidRPr="003C2095" w:rsidRDefault="00907C2C" w:rsidP="006609DD">
      <w:pPr>
        <w:autoSpaceDE w:val="0"/>
        <w:autoSpaceDN w:val="0"/>
        <w:adjustRightInd w:val="0"/>
        <w:spacing w:line="240" w:lineRule="auto"/>
        <w:ind w:right="430"/>
        <w:rPr>
          <w:rFonts w:cs="Georgia"/>
          <w:color w:val="000000"/>
          <w:szCs w:val="20"/>
          <w:lang w:val="en-US"/>
        </w:rPr>
      </w:pPr>
    </w:p>
    <w:p w:rsidR="00BE5B5C" w:rsidRPr="00CC65DD" w:rsidRDefault="003C2095" w:rsidP="00CC65DD">
      <w:pPr>
        <w:pStyle w:val="ListParagraph"/>
        <w:numPr>
          <w:ilvl w:val="0"/>
          <w:numId w:val="17"/>
        </w:numPr>
        <w:autoSpaceDE w:val="0"/>
        <w:autoSpaceDN w:val="0"/>
        <w:adjustRightInd w:val="0"/>
        <w:spacing w:after="360" w:line="240" w:lineRule="auto"/>
        <w:ind w:left="425" w:right="431" w:hanging="357"/>
        <w:rPr>
          <w:rFonts w:cs="Georgia"/>
          <w:b/>
          <w:bCs/>
          <w:i/>
          <w:iCs/>
          <w:szCs w:val="20"/>
          <w:lang w:val="en-IN"/>
        </w:rPr>
      </w:pPr>
      <w:r w:rsidRPr="003C2095">
        <w:rPr>
          <w:rFonts w:ascii="Georgia" w:hAnsi="Georgia" w:cs="Georgia"/>
          <w:b/>
          <w:sz w:val="20"/>
          <w:szCs w:val="20"/>
          <w:lang w:val="en-US"/>
        </w:rPr>
        <w:t xml:space="preserve">US economic growth expected to be the fastest </w:t>
      </w:r>
      <w:r w:rsidR="009237C4">
        <w:rPr>
          <w:rFonts w:ascii="Georgia" w:hAnsi="Georgia" w:cs="Georgia"/>
          <w:b/>
          <w:sz w:val="20"/>
          <w:szCs w:val="20"/>
          <w:lang w:val="en-US"/>
        </w:rPr>
        <w:t>for a decade</w:t>
      </w:r>
      <w:r w:rsidRPr="003C2095">
        <w:rPr>
          <w:rFonts w:ascii="Georgia" w:hAnsi="Georgia" w:cs="Georgia"/>
          <w:b/>
          <w:sz w:val="20"/>
          <w:szCs w:val="20"/>
          <w:lang w:val="en-US"/>
        </w:rPr>
        <w:t>:</w:t>
      </w:r>
      <w:r w:rsidRPr="003C2095">
        <w:rPr>
          <w:rFonts w:ascii="Georgia" w:hAnsi="Georgia" w:cs="Georgia"/>
          <w:sz w:val="20"/>
          <w:szCs w:val="20"/>
          <w:lang w:val="en-US"/>
        </w:rPr>
        <w:t xml:space="preserve">  US unemployment has fallen during 2014 to below 6%, and we expect this</w:t>
      </w:r>
      <w:r w:rsidR="00257C20">
        <w:rPr>
          <w:rFonts w:ascii="Georgia" w:hAnsi="Georgia" w:cs="Georgia"/>
          <w:sz w:val="20"/>
          <w:szCs w:val="20"/>
          <w:lang w:val="en-US"/>
        </w:rPr>
        <w:t>,</w:t>
      </w:r>
      <w:r w:rsidRPr="003C2095">
        <w:rPr>
          <w:rFonts w:ascii="Georgia" w:hAnsi="Georgia" w:cs="Georgia"/>
          <w:sz w:val="20"/>
          <w:szCs w:val="20"/>
          <w:lang w:val="en-US"/>
        </w:rPr>
        <w:t xml:space="preserve"> combined with lower oil prices</w:t>
      </w:r>
      <w:r w:rsidR="00257C20">
        <w:rPr>
          <w:rFonts w:ascii="Georgia" w:hAnsi="Georgia" w:cs="Georgia"/>
          <w:sz w:val="20"/>
          <w:szCs w:val="20"/>
          <w:lang w:val="en-US"/>
        </w:rPr>
        <w:t>,</w:t>
      </w:r>
      <w:r w:rsidRPr="003C2095">
        <w:rPr>
          <w:rFonts w:ascii="Georgia" w:hAnsi="Georgia" w:cs="Georgia"/>
          <w:sz w:val="20"/>
          <w:szCs w:val="20"/>
          <w:lang w:val="en-US"/>
        </w:rPr>
        <w:t xml:space="preserve"> to contribute to rising household consumption.  In our main scenario we are projecting</w:t>
      </w:r>
      <w:r w:rsidR="009237C4">
        <w:rPr>
          <w:rFonts w:ascii="Georgia" w:hAnsi="Georgia" w:cs="Georgia"/>
          <w:sz w:val="20"/>
          <w:szCs w:val="20"/>
          <w:lang w:val="en-US"/>
        </w:rPr>
        <w:t xml:space="preserve"> the</w:t>
      </w:r>
      <w:r w:rsidR="00257C20">
        <w:rPr>
          <w:rFonts w:ascii="Georgia" w:hAnsi="Georgia" w:cs="Georgia"/>
          <w:sz w:val="20"/>
          <w:szCs w:val="20"/>
          <w:lang w:val="en-US"/>
        </w:rPr>
        <w:t xml:space="preserve"> US</w:t>
      </w:r>
      <w:r w:rsidRPr="003C2095">
        <w:rPr>
          <w:rFonts w:ascii="Georgia" w:hAnsi="Georgia" w:cs="Georgia"/>
          <w:sz w:val="20"/>
          <w:szCs w:val="20"/>
          <w:lang w:val="en-US"/>
        </w:rPr>
        <w:t xml:space="preserve"> econom</w:t>
      </w:r>
      <w:r w:rsidR="009237C4">
        <w:rPr>
          <w:rFonts w:ascii="Georgia" w:hAnsi="Georgia" w:cs="Georgia"/>
          <w:sz w:val="20"/>
          <w:szCs w:val="20"/>
          <w:lang w:val="en-US"/>
        </w:rPr>
        <w:t>y to grow by more than</w:t>
      </w:r>
      <w:r w:rsidRPr="003C2095">
        <w:rPr>
          <w:rFonts w:ascii="Georgia" w:hAnsi="Georgia" w:cs="Georgia"/>
          <w:sz w:val="20"/>
          <w:szCs w:val="20"/>
          <w:lang w:val="en-US"/>
        </w:rPr>
        <w:t xml:space="preserve"> 3% in 2015, the f</w:t>
      </w:r>
      <w:r w:rsidR="00B1442A">
        <w:rPr>
          <w:rFonts w:ascii="Georgia" w:hAnsi="Georgia" w:cs="Georgia"/>
          <w:sz w:val="20"/>
          <w:szCs w:val="20"/>
          <w:lang w:val="en-US"/>
        </w:rPr>
        <w:t xml:space="preserve">astest growth rate since 2005. </w:t>
      </w:r>
      <w:r w:rsidRPr="003C2095">
        <w:rPr>
          <w:rFonts w:ascii="Georgia" w:hAnsi="Georgia" w:cs="Georgia"/>
          <w:sz w:val="20"/>
          <w:szCs w:val="20"/>
          <w:lang w:val="en-US"/>
        </w:rPr>
        <w:t xml:space="preserve">In line with this, we expect the US to contribute around </w:t>
      </w:r>
      <w:r w:rsidR="009E114C">
        <w:rPr>
          <w:rFonts w:ascii="Georgia" w:hAnsi="Georgia" w:cs="Georgia"/>
          <w:sz w:val="20"/>
          <w:szCs w:val="20"/>
          <w:lang w:val="en-US"/>
        </w:rPr>
        <w:t>2</w:t>
      </w:r>
      <w:bookmarkStart w:id="0" w:name="_GoBack"/>
      <w:bookmarkEnd w:id="0"/>
      <w:r w:rsidR="00257C20">
        <w:rPr>
          <w:rFonts w:ascii="Georgia" w:hAnsi="Georgia" w:cs="Georgia"/>
          <w:sz w:val="20"/>
          <w:szCs w:val="20"/>
          <w:lang w:val="en-US"/>
        </w:rPr>
        <w:t>3</w:t>
      </w:r>
      <w:r w:rsidRPr="003C2095">
        <w:rPr>
          <w:rFonts w:ascii="Georgia" w:hAnsi="Georgia" w:cs="Georgia"/>
          <w:sz w:val="20"/>
          <w:szCs w:val="20"/>
          <w:lang w:val="en-US"/>
        </w:rPr>
        <w:t>% of global GDP growth in 2015</w:t>
      </w:r>
      <w:r w:rsidR="00257C20">
        <w:rPr>
          <w:rFonts w:ascii="Georgia" w:hAnsi="Georgia" w:cs="Georgia"/>
          <w:sz w:val="20"/>
          <w:szCs w:val="20"/>
          <w:lang w:val="en-US"/>
        </w:rPr>
        <w:t xml:space="preserve"> (see Figure 1)</w:t>
      </w:r>
      <w:r w:rsidRPr="003C2095">
        <w:rPr>
          <w:rFonts w:ascii="Georgia" w:hAnsi="Georgia" w:cs="Georgia"/>
          <w:sz w:val="20"/>
          <w:szCs w:val="20"/>
          <w:lang w:val="en-US"/>
        </w:rPr>
        <w:t>, its largest contribution in a single year since before the financial crisis.</w:t>
      </w:r>
    </w:p>
    <w:p w:rsidR="00CC65DD" w:rsidRDefault="00CC65DD" w:rsidP="00CC65DD">
      <w:pPr>
        <w:pStyle w:val="ListParagraph"/>
        <w:autoSpaceDE w:val="0"/>
        <w:autoSpaceDN w:val="0"/>
        <w:adjustRightInd w:val="0"/>
        <w:spacing w:after="360" w:line="240" w:lineRule="auto"/>
        <w:ind w:left="425" w:right="431"/>
        <w:rPr>
          <w:rFonts w:cs="Georgia"/>
          <w:b/>
          <w:bCs/>
          <w:i/>
          <w:iCs/>
          <w:szCs w:val="20"/>
          <w:lang w:val="en-IN"/>
        </w:rPr>
      </w:pPr>
    </w:p>
    <w:p w:rsidR="00CC65DD" w:rsidRPr="00B605D8" w:rsidRDefault="00DF2ADE" w:rsidP="00B605D8">
      <w:pPr>
        <w:pStyle w:val="ListParagraph"/>
        <w:autoSpaceDE w:val="0"/>
        <w:autoSpaceDN w:val="0"/>
        <w:adjustRightInd w:val="0"/>
        <w:spacing w:after="360" w:line="240" w:lineRule="auto"/>
        <w:ind w:left="425" w:right="431"/>
        <w:rPr>
          <w:rFonts w:cs="Georgia"/>
          <w:b/>
          <w:bCs/>
          <w:i/>
          <w:iCs/>
          <w:szCs w:val="20"/>
          <w:lang w:val="en-IN"/>
        </w:rPr>
      </w:pPr>
      <w:r>
        <w:rPr>
          <w:rFonts w:cs="Georgia"/>
          <w:b/>
          <w:bCs/>
          <w:i/>
          <w:iCs/>
          <w:noProof/>
          <w:szCs w:val="20"/>
          <w:lang w:eastAsia="en-GB"/>
        </w:rPr>
        <w:drawing>
          <wp:inline distT="0" distB="0" distL="0" distR="0" wp14:anchorId="16A0A1A2" wp14:editId="2B657A2D">
            <wp:extent cx="4829175" cy="2943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943225"/>
                    </a:xfrm>
                    <a:prstGeom prst="rect">
                      <a:avLst/>
                    </a:prstGeom>
                    <a:noFill/>
                    <a:ln>
                      <a:noFill/>
                    </a:ln>
                  </pic:spPr>
                </pic:pic>
              </a:graphicData>
            </a:graphic>
          </wp:inline>
        </w:drawing>
      </w:r>
    </w:p>
    <w:p w:rsidR="00CC65DD" w:rsidRDefault="00CC65DD" w:rsidP="00CC65DD">
      <w:pPr>
        <w:pStyle w:val="ListParagraph"/>
        <w:autoSpaceDE w:val="0"/>
        <w:autoSpaceDN w:val="0"/>
        <w:adjustRightInd w:val="0"/>
        <w:spacing w:after="360" w:line="240" w:lineRule="auto"/>
        <w:ind w:left="425" w:right="431"/>
        <w:rPr>
          <w:rFonts w:cs="Georgia"/>
          <w:b/>
          <w:bCs/>
          <w:i/>
          <w:iCs/>
          <w:szCs w:val="20"/>
          <w:lang w:val="en-IN"/>
        </w:rPr>
      </w:pPr>
    </w:p>
    <w:p w:rsidR="00CC65DD" w:rsidRPr="004711DA" w:rsidRDefault="00CC65DD" w:rsidP="004711DA">
      <w:pPr>
        <w:autoSpaceDE w:val="0"/>
        <w:autoSpaceDN w:val="0"/>
        <w:adjustRightInd w:val="0"/>
        <w:spacing w:after="360" w:line="240" w:lineRule="auto"/>
        <w:ind w:right="431"/>
        <w:jc w:val="right"/>
        <w:rPr>
          <w:rFonts w:cs="Georgia"/>
          <w:bCs/>
          <w:i/>
          <w:iCs/>
          <w:szCs w:val="20"/>
          <w:lang w:val="en-IN"/>
        </w:rPr>
      </w:pPr>
      <w:proofErr w:type="gramStart"/>
      <w:r w:rsidRPr="004711DA">
        <w:rPr>
          <w:rFonts w:cs="Georgia"/>
          <w:bCs/>
          <w:i/>
          <w:iCs/>
          <w:szCs w:val="20"/>
          <w:lang w:val="en-IN"/>
        </w:rPr>
        <w:t>more</w:t>
      </w:r>
      <w:proofErr w:type="gramEnd"/>
      <w:r w:rsidRPr="004711DA">
        <w:rPr>
          <w:rFonts w:cs="Georgia"/>
          <w:bCs/>
          <w:i/>
          <w:iCs/>
          <w:szCs w:val="20"/>
          <w:lang w:val="en-IN"/>
        </w:rPr>
        <w:t>…</w:t>
      </w:r>
    </w:p>
    <w:p w:rsidR="00CC65DD" w:rsidRDefault="00CC65DD" w:rsidP="00B605D8">
      <w:pPr>
        <w:autoSpaceDE w:val="0"/>
        <w:autoSpaceDN w:val="0"/>
        <w:adjustRightInd w:val="0"/>
        <w:spacing w:after="360" w:line="240" w:lineRule="auto"/>
        <w:ind w:right="431"/>
        <w:rPr>
          <w:rFonts w:ascii="Calibri" w:eastAsia="Times New Roman" w:hAnsi="Calibri" w:cs="Georgia"/>
          <w:b/>
          <w:bCs/>
          <w:i/>
          <w:iCs/>
          <w:color w:val="000000"/>
          <w:sz w:val="21"/>
          <w:szCs w:val="20"/>
          <w:lang w:val="en-IN" w:eastAsia="zh-CN"/>
        </w:rPr>
      </w:pPr>
    </w:p>
    <w:p w:rsidR="00B605D8" w:rsidRPr="00B605D8" w:rsidRDefault="00B605D8" w:rsidP="00B605D8">
      <w:pPr>
        <w:autoSpaceDE w:val="0"/>
        <w:autoSpaceDN w:val="0"/>
        <w:adjustRightInd w:val="0"/>
        <w:spacing w:after="360" w:line="240" w:lineRule="auto"/>
        <w:ind w:right="431"/>
        <w:rPr>
          <w:rFonts w:cs="Georgia"/>
          <w:b/>
          <w:bCs/>
          <w:i/>
          <w:iCs/>
          <w:szCs w:val="20"/>
          <w:lang w:val="en-IN"/>
        </w:rPr>
      </w:pPr>
    </w:p>
    <w:p w:rsidR="00BE5B5C" w:rsidRPr="00CC65DD" w:rsidRDefault="00BE5B5C" w:rsidP="00CC65DD">
      <w:pPr>
        <w:pStyle w:val="ListParagraph"/>
        <w:numPr>
          <w:ilvl w:val="0"/>
          <w:numId w:val="17"/>
        </w:numPr>
        <w:autoSpaceDE w:val="0"/>
        <w:autoSpaceDN w:val="0"/>
        <w:adjustRightInd w:val="0"/>
        <w:spacing w:line="240" w:lineRule="auto"/>
        <w:ind w:left="425" w:right="431" w:hanging="357"/>
        <w:rPr>
          <w:rFonts w:cs="Georgia"/>
          <w:b/>
          <w:bCs/>
          <w:i/>
          <w:iCs/>
          <w:szCs w:val="20"/>
          <w:lang w:val="en-IN"/>
        </w:rPr>
      </w:pPr>
      <w:r w:rsidRPr="00CC65DD">
        <w:rPr>
          <w:rFonts w:ascii="Georgia" w:hAnsi="Georgia" w:cs="Georgia"/>
          <w:b/>
          <w:sz w:val="20"/>
          <w:szCs w:val="20"/>
          <w:lang w:val="en-US"/>
        </w:rPr>
        <w:t>Economic growth in China projected to be the slowest since 1990:</w:t>
      </w:r>
      <w:r w:rsidRPr="00CC65DD">
        <w:rPr>
          <w:rFonts w:ascii="Georgia" w:hAnsi="Georgia" w:cs="Georgia"/>
          <w:sz w:val="20"/>
          <w:szCs w:val="20"/>
          <w:lang w:val="en-US"/>
        </w:rPr>
        <w:t xml:space="preserve">  We still expect China to make the biggest contribution to global growth </w:t>
      </w:r>
      <w:r w:rsidR="00FF4960">
        <w:rPr>
          <w:rFonts w:ascii="Georgia" w:hAnsi="Georgia" w:cs="Georgia"/>
          <w:sz w:val="20"/>
          <w:szCs w:val="20"/>
          <w:lang w:val="en-US"/>
        </w:rPr>
        <w:t>in 2015</w:t>
      </w:r>
      <w:r w:rsidRPr="00CC65DD">
        <w:rPr>
          <w:rFonts w:ascii="Georgia" w:hAnsi="Georgia" w:cs="Georgia"/>
          <w:sz w:val="20"/>
          <w:szCs w:val="20"/>
          <w:lang w:val="en-US"/>
        </w:rPr>
        <w:t xml:space="preserve">.  However, its projected growth rate of 7.2% would be its slowest since 1990 and its high debt levels pose some downside risks to that main scenario.  </w:t>
      </w:r>
    </w:p>
    <w:p w:rsidR="00CC65DD" w:rsidRDefault="00BE5B5C" w:rsidP="00CC65DD">
      <w:pPr>
        <w:pStyle w:val="ListParagraph"/>
        <w:autoSpaceDE w:val="0"/>
        <w:autoSpaceDN w:val="0"/>
        <w:adjustRightInd w:val="0"/>
        <w:spacing w:line="240" w:lineRule="auto"/>
        <w:ind w:left="426" w:right="430"/>
        <w:rPr>
          <w:rFonts w:ascii="Georgia" w:hAnsi="Georgia" w:cs="Georgia"/>
          <w:sz w:val="20"/>
          <w:szCs w:val="20"/>
          <w:lang w:val="en-US"/>
        </w:rPr>
      </w:pPr>
      <w:r w:rsidRPr="00BE5B5C">
        <w:rPr>
          <w:rFonts w:ascii="Georgia" w:hAnsi="Georgia" w:cs="Georgia"/>
          <w:sz w:val="20"/>
          <w:szCs w:val="20"/>
          <w:lang w:val="en-US"/>
        </w:rPr>
        <w:t xml:space="preserve">But </w:t>
      </w:r>
      <w:r w:rsidR="00B605D8">
        <w:rPr>
          <w:rFonts w:ascii="Georgia" w:hAnsi="Georgia" w:cs="Georgia"/>
          <w:sz w:val="20"/>
          <w:szCs w:val="20"/>
          <w:lang w:val="en-US"/>
        </w:rPr>
        <w:t>two</w:t>
      </w:r>
      <w:r w:rsidRPr="00BE5B5C">
        <w:rPr>
          <w:rFonts w:ascii="Georgia" w:hAnsi="Georgia" w:cs="Georgia"/>
          <w:sz w:val="20"/>
          <w:szCs w:val="20"/>
          <w:lang w:val="en-US"/>
        </w:rPr>
        <w:t xml:space="preserve"> of the other BRIC economies are experiencing more severe problems:  </w:t>
      </w:r>
    </w:p>
    <w:p w:rsidR="00CC65DD" w:rsidRDefault="00BE5B5C" w:rsidP="00CC65DD">
      <w:pPr>
        <w:pStyle w:val="ListParagraph"/>
        <w:numPr>
          <w:ilvl w:val="0"/>
          <w:numId w:val="18"/>
        </w:numPr>
        <w:autoSpaceDE w:val="0"/>
        <w:autoSpaceDN w:val="0"/>
        <w:adjustRightInd w:val="0"/>
        <w:spacing w:line="240" w:lineRule="auto"/>
        <w:ind w:left="1134" w:right="430"/>
        <w:rPr>
          <w:rFonts w:ascii="Georgia" w:hAnsi="Georgia" w:cs="Georgia"/>
          <w:sz w:val="20"/>
          <w:szCs w:val="20"/>
          <w:lang w:val="en-US"/>
        </w:rPr>
      </w:pPr>
      <w:r w:rsidRPr="00CC65DD">
        <w:rPr>
          <w:rFonts w:ascii="Georgia" w:hAnsi="Georgia" w:cs="Georgia"/>
          <w:sz w:val="20"/>
          <w:szCs w:val="20"/>
          <w:lang w:val="en-US"/>
        </w:rPr>
        <w:t xml:space="preserve">in Russia, we expect GDP to shrink in 2015 on the back of low oil prices and economic sanctions; and </w:t>
      </w:r>
    </w:p>
    <w:p w:rsidR="00BE5B5C" w:rsidRPr="00CC65DD" w:rsidRDefault="00BE5B5C" w:rsidP="00CC65DD">
      <w:pPr>
        <w:pStyle w:val="ListParagraph"/>
        <w:numPr>
          <w:ilvl w:val="0"/>
          <w:numId w:val="18"/>
        </w:numPr>
        <w:autoSpaceDE w:val="0"/>
        <w:autoSpaceDN w:val="0"/>
        <w:adjustRightInd w:val="0"/>
        <w:spacing w:after="0" w:line="240" w:lineRule="auto"/>
        <w:ind w:left="1134" w:right="431" w:hanging="357"/>
        <w:rPr>
          <w:rFonts w:ascii="Georgia" w:hAnsi="Georgia" w:cs="Georgia"/>
          <w:sz w:val="20"/>
          <w:szCs w:val="20"/>
          <w:lang w:val="en-US"/>
        </w:rPr>
      </w:pPr>
      <w:proofErr w:type="gramStart"/>
      <w:r w:rsidRPr="00CC65DD">
        <w:rPr>
          <w:rFonts w:ascii="Georgia" w:hAnsi="Georgia" w:cs="Georgia"/>
          <w:sz w:val="20"/>
          <w:szCs w:val="20"/>
          <w:lang w:val="en-US"/>
        </w:rPr>
        <w:t>growth</w:t>
      </w:r>
      <w:proofErr w:type="gramEnd"/>
      <w:r w:rsidRPr="00CC65DD">
        <w:rPr>
          <w:rFonts w:ascii="Georgia" w:hAnsi="Georgia" w:cs="Georgia"/>
          <w:sz w:val="20"/>
          <w:szCs w:val="20"/>
          <w:lang w:val="en-US"/>
        </w:rPr>
        <w:t xml:space="preserve"> is expected to be sluggish in Brazil where our main scenario projection is for the economy to grow by only around 1%. </w:t>
      </w:r>
    </w:p>
    <w:p w:rsidR="0032462C" w:rsidRDefault="00BE5B5C" w:rsidP="00CC65DD">
      <w:pPr>
        <w:autoSpaceDE w:val="0"/>
        <w:autoSpaceDN w:val="0"/>
        <w:adjustRightInd w:val="0"/>
        <w:spacing w:line="240" w:lineRule="auto"/>
        <w:ind w:left="426" w:right="430"/>
        <w:rPr>
          <w:rFonts w:cs="Georgia"/>
          <w:color w:val="000000"/>
          <w:szCs w:val="20"/>
          <w:lang w:val="en-US"/>
        </w:rPr>
      </w:pPr>
      <w:r w:rsidRPr="00CC65DD">
        <w:rPr>
          <w:rFonts w:cs="Georgia"/>
          <w:szCs w:val="20"/>
          <w:lang w:val="en-US"/>
        </w:rPr>
        <w:t>Taken together, we expect the BRICs</w:t>
      </w:r>
      <w:r w:rsidR="007503D1">
        <w:rPr>
          <w:rFonts w:cs="Georgia"/>
          <w:szCs w:val="20"/>
          <w:lang w:val="en-US"/>
        </w:rPr>
        <w:t>’</w:t>
      </w:r>
      <w:r w:rsidRPr="00CC65DD">
        <w:rPr>
          <w:rFonts w:cs="Georgia"/>
          <w:szCs w:val="20"/>
          <w:lang w:val="en-US"/>
        </w:rPr>
        <w:t xml:space="preserve"> contribution to global growth to fall for the second year in a row to around 3</w:t>
      </w:r>
      <w:r w:rsidR="00FF4960">
        <w:rPr>
          <w:rFonts w:cs="Georgia"/>
          <w:szCs w:val="20"/>
          <w:lang w:val="en-US"/>
        </w:rPr>
        <w:t>3</w:t>
      </w:r>
      <w:r w:rsidRPr="00CC65DD">
        <w:rPr>
          <w:rFonts w:cs="Georgia"/>
          <w:szCs w:val="20"/>
          <w:lang w:val="en-US"/>
        </w:rPr>
        <w:t xml:space="preserve">% in 2015 (see Figure 1). </w:t>
      </w:r>
      <w:r w:rsidR="003C2095" w:rsidRPr="00CC65DD">
        <w:rPr>
          <w:rFonts w:cs="Georgia"/>
          <w:color w:val="000000"/>
          <w:szCs w:val="20"/>
          <w:lang w:val="en-US"/>
        </w:rPr>
        <w:t xml:space="preserve"> </w:t>
      </w:r>
    </w:p>
    <w:p w:rsidR="00CC65DD" w:rsidRPr="00BA5735" w:rsidRDefault="00CC65DD" w:rsidP="00CC65DD">
      <w:pPr>
        <w:autoSpaceDE w:val="0"/>
        <w:autoSpaceDN w:val="0"/>
        <w:adjustRightInd w:val="0"/>
        <w:spacing w:line="240" w:lineRule="auto"/>
        <w:ind w:left="426" w:right="430"/>
        <w:rPr>
          <w:rFonts w:cs="Georgia"/>
          <w:color w:val="000000"/>
          <w:szCs w:val="20"/>
          <w:lang w:val="en-US"/>
        </w:rPr>
      </w:pPr>
    </w:p>
    <w:p w:rsidR="00BA5735" w:rsidRDefault="00BA5735" w:rsidP="00BA5735">
      <w:pPr>
        <w:pStyle w:val="ListParagraph"/>
        <w:numPr>
          <w:ilvl w:val="0"/>
          <w:numId w:val="17"/>
        </w:numPr>
        <w:autoSpaceDE w:val="0"/>
        <w:autoSpaceDN w:val="0"/>
        <w:adjustRightInd w:val="0"/>
        <w:spacing w:line="240" w:lineRule="auto"/>
        <w:ind w:left="426" w:right="430"/>
        <w:rPr>
          <w:rFonts w:ascii="Georgia" w:hAnsi="Georgia" w:cs="Georgia"/>
          <w:bCs/>
          <w:iCs/>
          <w:sz w:val="20"/>
          <w:szCs w:val="20"/>
          <w:lang w:val="en-IN"/>
        </w:rPr>
      </w:pPr>
      <w:r w:rsidRPr="00BA5735">
        <w:rPr>
          <w:rFonts w:ascii="Georgia" w:hAnsi="Georgia" w:cs="Georgia"/>
          <w:b/>
          <w:bCs/>
          <w:iCs/>
          <w:sz w:val="20"/>
          <w:szCs w:val="20"/>
          <w:lang w:val="en-IN"/>
        </w:rPr>
        <w:t>Low inflation leads to Quantitative Easing in the Eurozone:</w:t>
      </w:r>
      <w:r w:rsidRPr="00BA5735">
        <w:rPr>
          <w:rFonts w:ascii="Georgia" w:hAnsi="Georgia" w:cs="Georgia"/>
          <w:bCs/>
          <w:iCs/>
          <w:sz w:val="20"/>
          <w:szCs w:val="20"/>
          <w:lang w:val="en-IN"/>
        </w:rPr>
        <w:t xml:space="preserve">  We expect both inflation and growth to remain very low in the Eurozone in 2015. We therefore expect the ECB to undertake a quantitative easing programme involving the purchase of government bonds, in an attempt to boost demand and head off deflation.</w:t>
      </w:r>
    </w:p>
    <w:p w:rsidR="00BA5735" w:rsidRPr="00BA5735" w:rsidRDefault="00BA5735" w:rsidP="00BA5735">
      <w:pPr>
        <w:pStyle w:val="ListParagraph"/>
        <w:autoSpaceDE w:val="0"/>
        <w:autoSpaceDN w:val="0"/>
        <w:adjustRightInd w:val="0"/>
        <w:spacing w:line="240" w:lineRule="auto"/>
        <w:ind w:left="426" w:right="430" w:hanging="426"/>
        <w:rPr>
          <w:rFonts w:ascii="Georgia" w:hAnsi="Georgia" w:cs="Georgia"/>
          <w:bCs/>
          <w:iCs/>
          <w:sz w:val="20"/>
          <w:szCs w:val="20"/>
          <w:lang w:val="en-IN"/>
        </w:rPr>
      </w:pPr>
    </w:p>
    <w:p w:rsidR="00BA5735" w:rsidRDefault="00BA5735" w:rsidP="00BA5735">
      <w:pPr>
        <w:pStyle w:val="ListParagraph"/>
        <w:numPr>
          <w:ilvl w:val="0"/>
          <w:numId w:val="17"/>
        </w:numPr>
        <w:autoSpaceDE w:val="0"/>
        <w:autoSpaceDN w:val="0"/>
        <w:adjustRightInd w:val="0"/>
        <w:spacing w:after="0" w:line="240" w:lineRule="auto"/>
        <w:ind w:left="425" w:right="431" w:hanging="357"/>
        <w:rPr>
          <w:rFonts w:ascii="Georgia" w:hAnsi="Georgia" w:cs="Georgia"/>
          <w:bCs/>
          <w:iCs/>
          <w:sz w:val="20"/>
          <w:szCs w:val="20"/>
          <w:lang w:val="en-IN"/>
        </w:rPr>
      </w:pPr>
      <w:r w:rsidRPr="00BA5735">
        <w:rPr>
          <w:rFonts w:ascii="Georgia" w:hAnsi="Georgia" w:cs="Georgia"/>
          <w:b/>
          <w:bCs/>
          <w:iCs/>
          <w:sz w:val="20"/>
          <w:szCs w:val="20"/>
          <w:lang w:val="en-IN"/>
        </w:rPr>
        <w:t>India expected to resume growing at above 6%:</w:t>
      </w:r>
      <w:r w:rsidRPr="00BA5735">
        <w:rPr>
          <w:rFonts w:ascii="Georgia" w:hAnsi="Georgia" w:cs="Georgia"/>
          <w:bCs/>
          <w:iCs/>
          <w:sz w:val="20"/>
          <w:szCs w:val="20"/>
          <w:lang w:val="en-IN"/>
        </w:rPr>
        <w:t xml:space="preserve">  After growing at below 6% since 2012, we think 2015 could be the year that India turns the corner, posting growth of around </w:t>
      </w:r>
      <w:r w:rsidR="00FF4960">
        <w:rPr>
          <w:rFonts w:ascii="Georgia" w:hAnsi="Georgia" w:cs="Georgia"/>
          <w:bCs/>
          <w:iCs/>
          <w:sz w:val="20"/>
          <w:szCs w:val="20"/>
          <w:lang w:val="en-IN"/>
        </w:rPr>
        <w:t>7</w:t>
      </w:r>
      <w:r w:rsidRPr="00BA5735">
        <w:rPr>
          <w:rFonts w:ascii="Georgia" w:hAnsi="Georgia" w:cs="Georgia"/>
          <w:bCs/>
          <w:iCs/>
          <w:sz w:val="20"/>
          <w:szCs w:val="20"/>
          <w:lang w:val="en-IN"/>
        </w:rPr>
        <w:t>%.  In the short-term, low oil prices are likely to</w:t>
      </w:r>
      <w:r w:rsidR="00FF4960">
        <w:rPr>
          <w:rFonts w:ascii="Georgia" w:hAnsi="Georgia" w:cs="Georgia"/>
          <w:bCs/>
          <w:iCs/>
          <w:sz w:val="20"/>
          <w:szCs w:val="20"/>
          <w:lang w:val="en-IN"/>
        </w:rPr>
        <w:t xml:space="preserve"> increase GDP growth,</w:t>
      </w:r>
      <w:r w:rsidRPr="00BA5735">
        <w:rPr>
          <w:rFonts w:ascii="Georgia" w:hAnsi="Georgia" w:cs="Georgia"/>
          <w:bCs/>
          <w:iCs/>
          <w:sz w:val="20"/>
          <w:szCs w:val="20"/>
          <w:lang w:val="en-IN"/>
        </w:rPr>
        <w:t xml:space="preserve"> ease the pressures of India’s high current account deficit and help bring down inflation.  </w:t>
      </w:r>
    </w:p>
    <w:p w:rsidR="00BA5735" w:rsidRPr="00BA5735" w:rsidRDefault="00BA5735" w:rsidP="00BA5735">
      <w:pPr>
        <w:autoSpaceDE w:val="0"/>
        <w:autoSpaceDN w:val="0"/>
        <w:adjustRightInd w:val="0"/>
        <w:spacing w:line="240" w:lineRule="auto"/>
        <w:ind w:left="426" w:right="430"/>
        <w:rPr>
          <w:rFonts w:cs="Georgia"/>
          <w:bCs/>
          <w:iCs/>
          <w:szCs w:val="20"/>
          <w:lang w:val="en-IN"/>
        </w:rPr>
      </w:pPr>
      <w:r w:rsidRPr="00BA5735">
        <w:rPr>
          <w:rFonts w:cs="Georgia"/>
          <w:bCs/>
          <w:iCs/>
          <w:szCs w:val="20"/>
          <w:lang w:val="en-IN"/>
        </w:rPr>
        <w:t xml:space="preserve">Looking towards the </w:t>
      </w:r>
      <w:r w:rsidR="009237C4">
        <w:rPr>
          <w:rFonts w:cs="Georgia"/>
          <w:bCs/>
          <w:iCs/>
          <w:szCs w:val="20"/>
          <w:lang w:val="en-IN"/>
        </w:rPr>
        <w:t>medium</w:t>
      </w:r>
      <w:r w:rsidRPr="00BA5735">
        <w:rPr>
          <w:rFonts w:cs="Georgia"/>
          <w:bCs/>
          <w:iCs/>
          <w:szCs w:val="20"/>
          <w:lang w:val="en-IN"/>
        </w:rPr>
        <w:t>-term, we think that the February 2015 budget could see India take a step towards implementing new structural reforms which will boost the economy.</w:t>
      </w:r>
    </w:p>
    <w:p w:rsidR="00BA5735" w:rsidRPr="00BA5735" w:rsidRDefault="00BA5735" w:rsidP="00BA5735">
      <w:pPr>
        <w:pStyle w:val="ListParagraph"/>
        <w:ind w:left="426"/>
        <w:rPr>
          <w:rFonts w:ascii="Georgia" w:hAnsi="Georgia" w:cs="Georgia"/>
          <w:bCs/>
          <w:iCs/>
          <w:sz w:val="20"/>
          <w:szCs w:val="20"/>
          <w:lang w:val="en-IN"/>
        </w:rPr>
      </w:pPr>
    </w:p>
    <w:p w:rsidR="00B1442A" w:rsidRPr="004711DA" w:rsidRDefault="00BA5735" w:rsidP="00BA5735">
      <w:pPr>
        <w:pStyle w:val="ListParagraph"/>
        <w:numPr>
          <w:ilvl w:val="0"/>
          <w:numId w:val="17"/>
        </w:numPr>
        <w:autoSpaceDE w:val="0"/>
        <w:autoSpaceDN w:val="0"/>
        <w:adjustRightInd w:val="0"/>
        <w:spacing w:after="0" w:line="240" w:lineRule="auto"/>
        <w:ind w:left="425" w:right="431" w:hanging="357"/>
        <w:rPr>
          <w:rFonts w:ascii="Georgia" w:hAnsi="Georgia" w:cs="Georgia"/>
          <w:bCs/>
          <w:iCs/>
          <w:sz w:val="20"/>
          <w:szCs w:val="20"/>
          <w:lang w:val="en-IN"/>
        </w:rPr>
      </w:pPr>
      <w:r w:rsidRPr="00BA5735">
        <w:rPr>
          <w:rFonts w:ascii="Georgia" w:hAnsi="Georgia" w:cs="Georgia"/>
          <w:b/>
          <w:sz w:val="20"/>
          <w:szCs w:val="20"/>
          <w:lang w:val="en-US"/>
        </w:rPr>
        <w:t>Economic growth in Sub-Saharan Africa (SSA) to outpace global growth for 15th year in a row</w:t>
      </w:r>
      <w:r w:rsidRPr="00BA5735">
        <w:rPr>
          <w:rFonts w:ascii="Georgia" w:hAnsi="Georgia" w:cs="Georgia"/>
          <w:sz w:val="20"/>
          <w:szCs w:val="20"/>
          <w:lang w:val="en-US"/>
        </w:rPr>
        <w:t xml:space="preserve"> (see Figure 2): We also expect the combined GDP of SSA’s </w:t>
      </w:r>
      <w:r w:rsidR="00B605D8">
        <w:rPr>
          <w:rFonts w:ascii="Georgia" w:hAnsi="Georgia" w:cs="Georgia"/>
          <w:sz w:val="20"/>
          <w:szCs w:val="20"/>
          <w:lang w:val="en-US"/>
        </w:rPr>
        <w:t>four</w:t>
      </w:r>
      <w:r w:rsidRPr="00BA5735">
        <w:rPr>
          <w:rFonts w:ascii="Georgia" w:hAnsi="Georgia" w:cs="Georgia"/>
          <w:sz w:val="20"/>
          <w:szCs w:val="20"/>
          <w:lang w:val="en-US"/>
        </w:rPr>
        <w:t xml:space="preserve"> largest economies (in purchasing</w:t>
      </w:r>
      <w:r w:rsidR="00DF2ADE">
        <w:rPr>
          <w:rFonts w:ascii="Georgia" w:hAnsi="Georgia" w:cs="Georgia"/>
          <w:sz w:val="20"/>
          <w:szCs w:val="20"/>
          <w:lang w:val="en-US"/>
        </w:rPr>
        <w:t xml:space="preserve"> </w:t>
      </w:r>
      <w:r w:rsidRPr="00BA5735">
        <w:rPr>
          <w:rFonts w:ascii="Georgia" w:hAnsi="Georgia" w:cs="Georgia"/>
          <w:sz w:val="20"/>
          <w:szCs w:val="20"/>
          <w:lang w:val="en-US"/>
        </w:rPr>
        <w:t>power</w:t>
      </w:r>
      <w:r w:rsidR="00DF2ADE">
        <w:rPr>
          <w:rFonts w:ascii="Georgia" w:hAnsi="Georgia" w:cs="Georgia"/>
          <w:sz w:val="20"/>
          <w:szCs w:val="20"/>
          <w:lang w:val="en-US"/>
        </w:rPr>
        <w:t xml:space="preserve"> </w:t>
      </w:r>
      <w:r w:rsidRPr="00BA5735">
        <w:rPr>
          <w:rFonts w:ascii="Georgia" w:hAnsi="Georgia" w:cs="Georgia"/>
          <w:sz w:val="20"/>
          <w:szCs w:val="20"/>
          <w:lang w:val="en-US"/>
        </w:rPr>
        <w:t xml:space="preserve">parity terms) – Nigeria, South Africa, Angola and Ethiopia – to overtake the economic output of Italy in 2015 when measured in constant 2013 international dollars.  For businesses, this is a further sign of the potential of SSA as a region </w:t>
      </w:r>
      <w:r w:rsidR="00B1442A">
        <w:rPr>
          <w:rFonts w:ascii="Georgia" w:hAnsi="Georgia" w:cs="Georgia"/>
          <w:sz w:val="20"/>
          <w:szCs w:val="20"/>
          <w:lang w:val="en-US"/>
        </w:rPr>
        <w:t>in which to invest</w:t>
      </w:r>
      <w:r w:rsidR="00B605D8">
        <w:rPr>
          <w:rFonts w:ascii="Georgia" w:hAnsi="Georgia" w:cs="Georgia"/>
          <w:sz w:val="20"/>
          <w:szCs w:val="20"/>
          <w:lang w:val="en-US"/>
        </w:rPr>
        <w:t>.</w:t>
      </w:r>
    </w:p>
    <w:p w:rsidR="004711DA" w:rsidRPr="00B1442A" w:rsidRDefault="004711DA" w:rsidP="004711DA">
      <w:pPr>
        <w:pStyle w:val="ListParagraph"/>
        <w:autoSpaceDE w:val="0"/>
        <w:autoSpaceDN w:val="0"/>
        <w:adjustRightInd w:val="0"/>
        <w:spacing w:after="0" w:line="240" w:lineRule="auto"/>
        <w:ind w:left="425" w:right="431"/>
        <w:rPr>
          <w:rFonts w:ascii="Georgia" w:hAnsi="Georgia" w:cs="Georgia"/>
          <w:bCs/>
          <w:iCs/>
          <w:sz w:val="20"/>
          <w:szCs w:val="20"/>
          <w:lang w:val="en-IN"/>
        </w:rPr>
      </w:pPr>
    </w:p>
    <w:p w:rsidR="00B1442A" w:rsidRDefault="004711DA" w:rsidP="00B1442A">
      <w:pPr>
        <w:autoSpaceDE w:val="0"/>
        <w:autoSpaceDN w:val="0"/>
        <w:adjustRightInd w:val="0"/>
        <w:spacing w:line="240" w:lineRule="auto"/>
        <w:ind w:right="431"/>
        <w:rPr>
          <w:rFonts w:cs="Georgia"/>
          <w:szCs w:val="20"/>
          <w:lang w:val="en-US"/>
        </w:rPr>
      </w:pPr>
      <w:r>
        <w:rPr>
          <w:rFonts w:cs="Georgia"/>
          <w:szCs w:val="20"/>
          <w:lang w:val="en-US"/>
        </w:rPr>
        <w:t xml:space="preserve">      </w:t>
      </w:r>
      <w:r w:rsidR="00DF2ADE">
        <w:rPr>
          <w:rFonts w:cs="Georgia"/>
          <w:noProof/>
          <w:szCs w:val="20"/>
          <w:lang w:eastAsia="en-GB"/>
        </w:rPr>
        <w:drawing>
          <wp:inline distT="0" distB="0" distL="0" distR="0" wp14:anchorId="4641111E" wp14:editId="493A8DAE">
            <wp:extent cx="3190875" cy="2886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886075"/>
                    </a:xfrm>
                    <a:prstGeom prst="rect">
                      <a:avLst/>
                    </a:prstGeom>
                    <a:noFill/>
                    <a:ln>
                      <a:noFill/>
                    </a:ln>
                  </pic:spPr>
                </pic:pic>
              </a:graphicData>
            </a:graphic>
          </wp:inline>
        </w:drawing>
      </w: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605D8" w:rsidRDefault="00B605D8" w:rsidP="00B605D8">
      <w:pPr>
        <w:autoSpaceDE w:val="0"/>
        <w:autoSpaceDN w:val="0"/>
        <w:adjustRightInd w:val="0"/>
        <w:spacing w:line="240" w:lineRule="auto"/>
        <w:ind w:right="431"/>
        <w:jc w:val="right"/>
        <w:rPr>
          <w:rFonts w:cs="Georgia"/>
          <w:bCs/>
          <w:i/>
          <w:iCs/>
          <w:szCs w:val="20"/>
          <w:lang w:val="en-IN"/>
        </w:rPr>
      </w:pPr>
    </w:p>
    <w:p w:rsidR="00B605D8" w:rsidRDefault="00B605D8" w:rsidP="00B605D8">
      <w:pPr>
        <w:autoSpaceDE w:val="0"/>
        <w:autoSpaceDN w:val="0"/>
        <w:adjustRightInd w:val="0"/>
        <w:spacing w:line="240" w:lineRule="auto"/>
        <w:ind w:right="431"/>
        <w:jc w:val="right"/>
        <w:rPr>
          <w:rFonts w:cs="Georgia"/>
          <w:bCs/>
          <w:i/>
          <w:iCs/>
          <w:szCs w:val="20"/>
          <w:lang w:val="en-IN"/>
        </w:rPr>
      </w:pPr>
    </w:p>
    <w:p w:rsidR="00B605D8" w:rsidRDefault="00B605D8" w:rsidP="00B605D8">
      <w:pPr>
        <w:autoSpaceDE w:val="0"/>
        <w:autoSpaceDN w:val="0"/>
        <w:adjustRightInd w:val="0"/>
        <w:spacing w:line="240" w:lineRule="auto"/>
        <w:ind w:right="431"/>
        <w:jc w:val="right"/>
        <w:rPr>
          <w:rFonts w:cs="Georgia"/>
          <w:bCs/>
          <w:i/>
          <w:iCs/>
          <w:szCs w:val="20"/>
          <w:lang w:val="en-IN"/>
        </w:rPr>
      </w:pPr>
    </w:p>
    <w:p w:rsidR="00B605D8" w:rsidRPr="00D15FAE" w:rsidRDefault="00B605D8" w:rsidP="004711DA">
      <w:pPr>
        <w:autoSpaceDE w:val="0"/>
        <w:autoSpaceDN w:val="0"/>
        <w:adjustRightInd w:val="0"/>
        <w:spacing w:line="240" w:lineRule="auto"/>
        <w:ind w:right="431"/>
        <w:jc w:val="right"/>
        <w:rPr>
          <w:rFonts w:cs="Georgia"/>
          <w:bCs/>
          <w:i/>
          <w:iCs/>
          <w:szCs w:val="20"/>
          <w:lang w:val="en-IN"/>
        </w:rPr>
      </w:pPr>
      <w:proofErr w:type="gramStart"/>
      <w:r w:rsidRPr="00D15FAE">
        <w:rPr>
          <w:rFonts w:cs="Georgia"/>
          <w:bCs/>
          <w:i/>
          <w:iCs/>
          <w:szCs w:val="20"/>
          <w:lang w:val="en-IN"/>
        </w:rPr>
        <w:t>more</w:t>
      </w:r>
      <w:proofErr w:type="gramEnd"/>
      <w:r w:rsidRPr="00D15FAE">
        <w:rPr>
          <w:rFonts w:cs="Georgia"/>
          <w:bCs/>
          <w:i/>
          <w:iCs/>
          <w:szCs w:val="20"/>
          <w:lang w:val="en-IN"/>
        </w:rPr>
        <w:t>…</w:t>
      </w: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Default="00B1442A" w:rsidP="00B1442A">
      <w:pPr>
        <w:autoSpaceDE w:val="0"/>
        <w:autoSpaceDN w:val="0"/>
        <w:adjustRightInd w:val="0"/>
        <w:spacing w:line="240" w:lineRule="auto"/>
        <w:ind w:right="431"/>
        <w:rPr>
          <w:rFonts w:cs="Georgia"/>
          <w:szCs w:val="20"/>
          <w:lang w:val="en-US"/>
        </w:rPr>
      </w:pPr>
    </w:p>
    <w:p w:rsidR="00B1442A" w:rsidRPr="00B1442A" w:rsidRDefault="00B1442A" w:rsidP="00B1442A">
      <w:pPr>
        <w:autoSpaceDE w:val="0"/>
        <w:autoSpaceDN w:val="0"/>
        <w:adjustRightInd w:val="0"/>
        <w:spacing w:line="240" w:lineRule="auto"/>
        <w:ind w:right="431"/>
        <w:rPr>
          <w:rFonts w:cs="Georgia"/>
          <w:szCs w:val="20"/>
          <w:lang w:val="en-US"/>
        </w:rPr>
      </w:pPr>
      <w:r>
        <w:rPr>
          <w:rFonts w:cs="Georgia"/>
          <w:szCs w:val="20"/>
          <w:lang w:val="en-US"/>
        </w:rPr>
        <w:t>Finally, PwC has identified three factors for business to look out for in 2015. First, o</w:t>
      </w:r>
      <w:proofErr w:type="spellStart"/>
      <w:r w:rsidRPr="00B1442A">
        <w:rPr>
          <w:rFonts w:cs="Georgia"/>
          <w:bCs/>
          <w:iCs/>
          <w:szCs w:val="20"/>
          <w:lang w:val="en-IN"/>
        </w:rPr>
        <w:t>il</w:t>
      </w:r>
      <w:proofErr w:type="spellEnd"/>
      <w:r w:rsidRPr="00B1442A">
        <w:rPr>
          <w:rFonts w:cs="Georgia"/>
          <w:bCs/>
          <w:iCs/>
          <w:szCs w:val="20"/>
          <w:lang w:val="en-IN"/>
        </w:rPr>
        <w:t xml:space="preserve"> prices have been falling in recent months due to slowing global demand, the US shale oil boom and steady production from OPEC.</w:t>
      </w:r>
      <w:r>
        <w:rPr>
          <w:rFonts w:cs="Georgia"/>
          <w:bCs/>
          <w:iCs/>
          <w:szCs w:val="20"/>
          <w:lang w:val="en-IN"/>
        </w:rPr>
        <w:t xml:space="preserve"> </w:t>
      </w:r>
      <w:r>
        <w:rPr>
          <w:rFonts w:cs="Georgia"/>
          <w:szCs w:val="20"/>
          <w:lang w:val="en-US"/>
        </w:rPr>
        <w:t xml:space="preserve">Says PwC senior economist Richard </w:t>
      </w:r>
      <w:proofErr w:type="spellStart"/>
      <w:r>
        <w:rPr>
          <w:rFonts w:cs="Georgia"/>
          <w:szCs w:val="20"/>
          <w:lang w:val="en-US"/>
        </w:rPr>
        <w:t>Boxshall</w:t>
      </w:r>
      <w:proofErr w:type="spellEnd"/>
      <w:r>
        <w:rPr>
          <w:rFonts w:cs="Georgia"/>
          <w:szCs w:val="20"/>
          <w:lang w:val="en-US"/>
        </w:rPr>
        <w:t>:  “</w:t>
      </w:r>
      <w:r w:rsidRPr="00B1442A">
        <w:rPr>
          <w:rFonts w:cs="Georgia"/>
          <w:bCs/>
          <w:iCs/>
          <w:szCs w:val="20"/>
          <w:lang w:val="en-IN"/>
        </w:rPr>
        <w:t>Our predictions and projections</w:t>
      </w:r>
      <w:r>
        <w:rPr>
          <w:rFonts w:cs="Georgia"/>
          <w:bCs/>
          <w:iCs/>
          <w:szCs w:val="20"/>
          <w:lang w:val="en-IN"/>
        </w:rPr>
        <w:t xml:space="preserve"> </w:t>
      </w:r>
      <w:r w:rsidRPr="00B1442A">
        <w:rPr>
          <w:rFonts w:cs="Georgia"/>
          <w:bCs/>
          <w:iCs/>
          <w:szCs w:val="20"/>
          <w:lang w:val="en-IN"/>
        </w:rPr>
        <w:t>assume that oil prices will average between $60-70 over the course of 2015 and finish the year at around $80.  However, due to the highly unpredictable nature of oil prices, busine</w:t>
      </w:r>
      <w:r>
        <w:rPr>
          <w:rFonts w:cs="Georgia"/>
          <w:bCs/>
          <w:iCs/>
          <w:szCs w:val="20"/>
          <w:lang w:val="en-IN"/>
        </w:rPr>
        <w:t xml:space="preserve">sses should plan for different </w:t>
      </w:r>
      <w:r w:rsidRPr="00B1442A">
        <w:rPr>
          <w:rFonts w:cs="Georgia"/>
          <w:bCs/>
          <w:iCs/>
          <w:szCs w:val="20"/>
          <w:lang w:val="en-IN"/>
        </w:rPr>
        <w:t>scenarios.</w:t>
      </w:r>
      <w:r>
        <w:rPr>
          <w:rFonts w:cs="Georgia"/>
          <w:bCs/>
          <w:iCs/>
          <w:szCs w:val="20"/>
          <w:lang w:val="en-IN"/>
        </w:rPr>
        <w:t>”</w:t>
      </w:r>
    </w:p>
    <w:p w:rsidR="00D15FAE" w:rsidRDefault="00D15FAE" w:rsidP="00B1442A">
      <w:pPr>
        <w:autoSpaceDE w:val="0"/>
        <w:autoSpaceDN w:val="0"/>
        <w:adjustRightInd w:val="0"/>
        <w:spacing w:line="240" w:lineRule="auto"/>
        <w:ind w:right="431"/>
        <w:rPr>
          <w:rFonts w:cs="Georgia"/>
          <w:bCs/>
          <w:iCs/>
          <w:szCs w:val="20"/>
          <w:lang w:val="en-IN"/>
        </w:rPr>
      </w:pPr>
    </w:p>
    <w:p w:rsidR="007503D1" w:rsidRDefault="007503D1" w:rsidP="00B1442A">
      <w:pPr>
        <w:autoSpaceDE w:val="0"/>
        <w:autoSpaceDN w:val="0"/>
        <w:adjustRightInd w:val="0"/>
        <w:spacing w:line="240" w:lineRule="auto"/>
        <w:ind w:right="431"/>
        <w:rPr>
          <w:rFonts w:cs="Georgia"/>
          <w:bCs/>
          <w:iCs/>
          <w:szCs w:val="20"/>
          <w:lang w:val="en-IN"/>
        </w:rPr>
      </w:pPr>
      <w:proofErr w:type="gramStart"/>
      <w:r>
        <w:rPr>
          <w:rFonts w:cs="Georgia"/>
          <w:bCs/>
          <w:iCs/>
          <w:szCs w:val="20"/>
          <w:lang w:val="en-IN"/>
        </w:rPr>
        <w:t>Second, a hard landing in China.</w:t>
      </w:r>
      <w:proofErr w:type="gramEnd"/>
      <w:r>
        <w:rPr>
          <w:rFonts w:cs="Georgia"/>
          <w:bCs/>
          <w:iCs/>
          <w:szCs w:val="20"/>
          <w:lang w:val="en-IN"/>
        </w:rPr>
        <w:t xml:space="preserve"> Says Richard </w:t>
      </w:r>
      <w:proofErr w:type="spellStart"/>
      <w:r>
        <w:rPr>
          <w:rFonts w:cs="Georgia"/>
          <w:bCs/>
          <w:iCs/>
          <w:szCs w:val="20"/>
          <w:lang w:val="en-IN"/>
        </w:rPr>
        <w:t>Boxshall</w:t>
      </w:r>
      <w:proofErr w:type="spellEnd"/>
      <w:r>
        <w:rPr>
          <w:rFonts w:cs="Georgia"/>
          <w:bCs/>
          <w:iCs/>
          <w:szCs w:val="20"/>
          <w:lang w:val="en-IN"/>
        </w:rPr>
        <w:t>: “</w:t>
      </w:r>
      <w:r w:rsidR="00B1442A" w:rsidRPr="00B1442A">
        <w:rPr>
          <w:rFonts w:cs="Georgia"/>
          <w:bCs/>
          <w:iCs/>
          <w:szCs w:val="20"/>
          <w:lang w:val="en-IN"/>
        </w:rPr>
        <w:t>The Chinese economy clearly has vulnerabilities g</w:t>
      </w:r>
      <w:r>
        <w:rPr>
          <w:rFonts w:cs="Georgia"/>
          <w:bCs/>
          <w:iCs/>
          <w:szCs w:val="20"/>
          <w:lang w:val="en-IN"/>
        </w:rPr>
        <w:t xml:space="preserve">iven its high total debt level </w:t>
      </w:r>
      <w:r w:rsidR="00B605D8">
        <w:rPr>
          <w:rFonts w:cs="Georgia"/>
          <w:bCs/>
          <w:iCs/>
          <w:szCs w:val="20"/>
          <w:lang w:val="en-IN"/>
        </w:rPr>
        <w:t>– around 250% of GDP –</w:t>
      </w:r>
      <w:r w:rsidR="00B1442A" w:rsidRPr="00B1442A">
        <w:rPr>
          <w:rFonts w:cs="Georgia"/>
          <w:bCs/>
          <w:iCs/>
          <w:szCs w:val="20"/>
          <w:lang w:val="en-IN"/>
        </w:rPr>
        <w:t xml:space="preserve"> and estimates by Chinese </w:t>
      </w:r>
    </w:p>
    <w:p w:rsidR="00B1442A" w:rsidRDefault="00B1442A" w:rsidP="00B1442A">
      <w:pPr>
        <w:autoSpaceDE w:val="0"/>
        <w:autoSpaceDN w:val="0"/>
        <w:adjustRightInd w:val="0"/>
        <w:spacing w:line="240" w:lineRule="auto"/>
        <w:ind w:right="431"/>
        <w:rPr>
          <w:rFonts w:cs="Georgia"/>
          <w:bCs/>
          <w:iCs/>
          <w:szCs w:val="20"/>
          <w:lang w:val="en-IN"/>
        </w:rPr>
      </w:pPr>
      <w:proofErr w:type="gramStart"/>
      <w:r w:rsidRPr="00B1442A">
        <w:rPr>
          <w:rFonts w:cs="Georgia"/>
          <w:bCs/>
          <w:iCs/>
          <w:szCs w:val="20"/>
          <w:lang w:val="en-IN"/>
        </w:rPr>
        <w:t>academic</w:t>
      </w:r>
      <w:proofErr w:type="gramEnd"/>
      <w:r w:rsidRPr="00B1442A">
        <w:rPr>
          <w:rFonts w:cs="Georgia"/>
          <w:bCs/>
          <w:iCs/>
          <w:szCs w:val="20"/>
          <w:lang w:val="en-IN"/>
        </w:rPr>
        <w:t xml:space="preserve"> researchers that around $6.8 trillion of the investments made since 2009 may have been wasted on creating ghost towns, unused office blocks and mothballed factories.</w:t>
      </w:r>
      <w:r w:rsidR="007503D1">
        <w:rPr>
          <w:rFonts w:cs="Georgia"/>
          <w:bCs/>
          <w:iCs/>
          <w:szCs w:val="20"/>
          <w:lang w:val="en-IN"/>
        </w:rPr>
        <w:t xml:space="preserve"> </w:t>
      </w:r>
      <w:r w:rsidRPr="00B1442A">
        <w:rPr>
          <w:rFonts w:cs="Georgia"/>
          <w:bCs/>
          <w:iCs/>
          <w:szCs w:val="20"/>
          <w:lang w:val="en-IN"/>
        </w:rPr>
        <w:t xml:space="preserve">So far the Chinese government appears to have this under control, but the downside risks of a hard landing should not be </w:t>
      </w:r>
      <w:r w:rsidR="007503D1">
        <w:rPr>
          <w:rFonts w:cs="Georgia"/>
          <w:bCs/>
          <w:iCs/>
          <w:szCs w:val="20"/>
          <w:lang w:val="en-IN"/>
        </w:rPr>
        <w:t>ignored.”</w:t>
      </w:r>
    </w:p>
    <w:p w:rsidR="007503D1" w:rsidRPr="00B1442A" w:rsidRDefault="007503D1" w:rsidP="00B1442A">
      <w:pPr>
        <w:autoSpaceDE w:val="0"/>
        <w:autoSpaceDN w:val="0"/>
        <w:adjustRightInd w:val="0"/>
        <w:spacing w:line="240" w:lineRule="auto"/>
        <w:ind w:right="431"/>
        <w:rPr>
          <w:rFonts w:cs="Georgia"/>
          <w:bCs/>
          <w:iCs/>
          <w:szCs w:val="20"/>
          <w:lang w:val="en-IN"/>
        </w:rPr>
      </w:pPr>
    </w:p>
    <w:p w:rsidR="00BA5735" w:rsidRPr="00B605D8" w:rsidRDefault="007503D1" w:rsidP="00B605D8">
      <w:pPr>
        <w:autoSpaceDE w:val="0"/>
        <w:autoSpaceDN w:val="0"/>
        <w:adjustRightInd w:val="0"/>
        <w:spacing w:line="240" w:lineRule="auto"/>
        <w:ind w:right="431"/>
        <w:rPr>
          <w:rFonts w:cs="Georgia"/>
          <w:bCs/>
          <w:iCs/>
          <w:szCs w:val="20"/>
          <w:lang w:val="en-IN"/>
        </w:rPr>
      </w:pPr>
      <w:proofErr w:type="gramStart"/>
      <w:r>
        <w:rPr>
          <w:rFonts w:cs="Georgia"/>
          <w:bCs/>
          <w:iCs/>
          <w:szCs w:val="20"/>
          <w:lang w:val="en-IN"/>
        </w:rPr>
        <w:t>And lastly, escalation of geopolitical risks.</w:t>
      </w:r>
      <w:proofErr w:type="gramEnd"/>
      <w:r w:rsidR="00B1442A" w:rsidRPr="00B1442A">
        <w:rPr>
          <w:rFonts w:cs="Georgia"/>
          <w:bCs/>
          <w:iCs/>
          <w:szCs w:val="20"/>
          <w:lang w:val="en-IN"/>
        </w:rPr>
        <w:t xml:space="preserve">  </w:t>
      </w:r>
      <w:r>
        <w:rPr>
          <w:rFonts w:cs="Georgia"/>
          <w:bCs/>
          <w:iCs/>
          <w:szCs w:val="20"/>
          <w:lang w:val="en-IN"/>
        </w:rPr>
        <w:t>“</w:t>
      </w:r>
      <w:r w:rsidR="00C935FF">
        <w:rPr>
          <w:rFonts w:cs="Georgia"/>
          <w:bCs/>
          <w:iCs/>
          <w:szCs w:val="20"/>
          <w:lang w:val="en-IN"/>
        </w:rPr>
        <w:t>A</w:t>
      </w:r>
      <w:r w:rsidR="00B1442A" w:rsidRPr="00B1442A">
        <w:rPr>
          <w:rFonts w:cs="Georgia"/>
          <w:bCs/>
          <w:iCs/>
          <w:szCs w:val="20"/>
          <w:lang w:val="en-IN"/>
        </w:rPr>
        <w:t>n escalation of the geopolitical tensions in Russia and Ukraine and in the Middle East</w:t>
      </w:r>
      <w:r>
        <w:rPr>
          <w:rFonts w:cs="Georgia"/>
          <w:bCs/>
          <w:iCs/>
          <w:szCs w:val="20"/>
          <w:lang w:val="en-IN"/>
        </w:rPr>
        <w:t xml:space="preserve"> </w:t>
      </w:r>
      <w:r w:rsidRPr="007503D1">
        <w:rPr>
          <w:rFonts w:cs="Georgia"/>
          <w:bCs/>
          <w:iCs/>
          <w:szCs w:val="20"/>
          <w:lang w:val="en-IN"/>
        </w:rPr>
        <w:t>could have a negative influence on business confidence,</w:t>
      </w:r>
      <w:r>
        <w:rPr>
          <w:rFonts w:cs="Georgia"/>
          <w:bCs/>
          <w:iCs/>
          <w:szCs w:val="20"/>
          <w:lang w:val="en-IN"/>
        </w:rPr>
        <w:t xml:space="preserve"> with consequent implications for global growth,” says Richard </w:t>
      </w:r>
      <w:proofErr w:type="spellStart"/>
      <w:r>
        <w:rPr>
          <w:rFonts w:cs="Georgia"/>
          <w:bCs/>
          <w:iCs/>
          <w:szCs w:val="20"/>
          <w:lang w:val="en-IN"/>
        </w:rPr>
        <w:t>Boxshall</w:t>
      </w:r>
      <w:proofErr w:type="spellEnd"/>
      <w:r>
        <w:rPr>
          <w:rFonts w:cs="Georgia"/>
          <w:bCs/>
          <w:iCs/>
          <w:szCs w:val="20"/>
          <w:lang w:val="en-IN"/>
        </w:rPr>
        <w:t>.</w:t>
      </w:r>
    </w:p>
    <w:p w:rsidR="007503D1" w:rsidRPr="00B605D8" w:rsidRDefault="00F22C05" w:rsidP="00B605D8">
      <w:pPr>
        <w:autoSpaceDE w:val="0"/>
        <w:autoSpaceDN w:val="0"/>
        <w:adjustRightInd w:val="0"/>
        <w:spacing w:after="240" w:line="240" w:lineRule="auto"/>
        <w:ind w:right="430"/>
        <w:jc w:val="right"/>
        <w:rPr>
          <w:b/>
          <w:i/>
          <w:szCs w:val="20"/>
          <w:lang w:val="en-US"/>
        </w:rPr>
      </w:pPr>
      <w:proofErr w:type="gramStart"/>
      <w:r>
        <w:rPr>
          <w:b/>
          <w:i/>
          <w:szCs w:val="20"/>
          <w:lang w:val="en-US"/>
        </w:rPr>
        <w:t>e</w:t>
      </w:r>
      <w:r w:rsidR="006030AF" w:rsidRPr="00901906">
        <w:rPr>
          <w:b/>
          <w:i/>
          <w:szCs w:val="20"/>
          <w:lang w:val="en-US"/>
        </w:rPr>
        <w:t>nds</w:t>
      </w:r>
      <w:proofErr w:type="gramEnd"/>
    </w:p>
    <w:p w:rsidR="004B5CD0" w:rsidRDefault="004B5CD0" w:rsidP="005E10F1">
      <w:pPr>
        <w:tabs>
          <w:tab w:val="left" w:pos="2043"/>
        </w:tabs>
        <w:autoSpaceDE w:val="0"/>
        <w:autoSpaceDN w:val="0"/>
        <w:adjustRightInd w:val="0"/>
        <w:spacing w:line="240" w:lineRule="auto"/>
        <w:ind w:right="430"/>
        <w:rPr>
          <w:b/>
          <w:szCs w:val="20"/>
          <w:lang w:val="en-US"/>
        </w:rPr>
      </w:pPr>
    </w:p>
    <w:p w:rsidR="004B5CD0" w:rsidRDefault="004B5CD0" w:rsidP="005E10F1">
      <w:pPr>
        <w:tabs>
          <w:tab w:val="left" w:pos="2043"/>
        </w:tabs>
        <w:autoSpaceDE w:val="0"/>
        <w:autoSpaceDN w:val="0"/>
        <w:adjustRightInd w:val="0"/>
        <w:spacing w:line="240" w:lineRule="auto"/>
        <w:ind w:right="430"/>
        <w:rPr>
          <w:b/>
          <w:szCs w:val="20"/>
          <w:lang w:val="en-US"/>
        </w:rPr>
      </w:pPr>
    </w:p>
    <w:p w:rsidR="003E6603" w:rsidRDefault="00901906" w:rsidP="005E10F1">
      <w:pPr>
        <w:tabs>
          <w:tab w:val="left" w:pos="2043"/>
        </w:tabs>
        <w:autoSpaceDE w:val="0"/>
        <w:autoSpaceDN w:val="0"/>
        <w:adjustRightInd w:val="0"/>
        <w:spacing w:line="240" w:lineRule="auto"/>
        <w:ind w:right="430"/>
        <w:rPr>
          <w:b/>
          <w:szCs w:val="20"/>
          <w:lang w:val="en-US"/>
        </w:rPr>
      </w:pPr>
      <w:r w:rsidRPr="00AB700D">
        <w:rPr>
          <w:b/>
          <w:szCs w:val="20"/>
          <w:lang w:val="en-US"/>
        </w:rPr>
        <w:t>Note</w:t>
      </w:r>
      <w:r w:rsidR="0011069F">
        <w:rPr>
          <w:b/>
          <w:szCs w:val="20"/>
          <w:lang w:val="en-US"/>
        </w:rPr>
        <w:t>s</w:t>
      </w:r>
      <w:r w:rsidR="00196C57" w:rsidRPr="00AB700D">
        <w:rPr>
          <w:b/>
          <w:szCs w:val="20"/>
          <w:lang w:val="en-US"/>
        </w:rPr>
        <w:t>:</w:t>
      </w:r>
    </w:p>
    <w:p w:rsidR="0098070E" w:rsidRDefault="0098070E" w:rsidP="005E10F1">
      <w:pPr>
        <w:tabs>
          <w:tab w:val="left" w:pos="2043"/>
        </w:tabs>
        <w:autoSpaceDE w:val="0"/>
        <w:autoSpaceDN w:val="0"/>
        <w:adjustRightInd w:val="0"/>
        <w:spacing w:line="240" w:lineRule="auto"/>
        <w:ind w:right="430"/>
        <w:rPr>
          <w:b/>
          <w:szCs w:val="20"/>
          <w:lang w:val="en-US"/>
        </w:rPr>
      </w:pPr>
    </w:p>
    <w:p w:rsidR="00D15FAE" w:rsidRDefault="00D15FAE" w:rsidP="00D15FAE">
      <w:pPr>
        <w:tabs>
          <w:tab w:val="left" w:pos="0"/>
        </w:tabs>
        <w:autoSpaceDE w:val="0"/>
        <w:autoSpaceDN w:val="0"/>
        <w:adjustRightInd w:val="0"/>
        <w:spacing w:line="240" w:lineRule="auto"/>
        <w:ind w:right="430"/>
        <w:rPr>
          <w:b/>
          <w:szCs w:val="20"/>
          <w:lang w:val="en-US"/>
        </w:rPr>
      </w:pPr>
      <w:r>
        <w:rPr>
          <w:b/>
          <w:szCs w:val="20"/>
          <w:lang w:val="en-US"/>
        </w:rPr>
        <w:t>How well did our economists do with last year’s predictions?</w:t>
      </w:r>
    </w:p>
    <w:p w:rsidR="00D15FAE" w:rsidRDefault="00D15FAE" w:rsidP="00D15FAE">
      <w:pPr>
        <w:tabs>
          <w:tab w:val="left" w:pos="0"/>
        </w:tabs>
        <w:autoSpaceDE w:val="0"/>
        <w:autoSpaceDN w:val="0"/>
        <w:adjustRightInd w:val="0"/>
        <w:spacing w:line="240" w:lineRule="auto"/>
        <w:ind w:right="430"/>
        <w:rPr>
          <w:b/>
          <w:szCs w:val="20"/>
          <w:lang w:val="en-US"/>
        </w:rPr>
      </w:pPr>
    </w:p>
    <w:p w:rsidR="00D15FAE" w:rsidRPr="00D15FAE" w:rsidRDefault="00D15FAE" w:rsidP="00D15FAE">
      <w:pPr>
        <w:tabs>
          <w:tab w:val="left" w:pos="0"/>
        </w:tabs>
        <w:autoSpaceDE w:val="0"/>
        <w:autoSpaceDN w:val="0"/>
        <w:adjustRightInd w:val="0"/>
        <w:spacing w:line="240" w:lineRule="auto"/>
        <w:ind w:right="431"/>
        <w:rPr>
          <w:szCs w:val="20"/>
          <w:lang w:val="en-US"/>
        </w:rPr>
      </w:pPr>
      <w:proofErr w:type="gramStart"/>
      <w:r>
        <w:rPr>
          <w:szCs w:val="20"/>
        </w:rPr>
        <w:t>On balance, pretty well.</w:t>
      </w:r>
      <w:proofErr w:type="gramEnd"/>
      <w:r>
        <w:rPr>
          <w:szCs w:val="20"/>
        </w:rPr>
        <w:t xml:space="preserve">  Th</w:t>
      </w:r>
      <w:r w:rsidRPr="00D15FAE">
        <w:rPr>
          <w:szCs w:val="20"/>
        </w:rPr>
        <w:t>e</w:t>
      </w:r>
      <w:r>
        <w:rPr>
          <w:szCs w:val="20"/>
        </w:rPr>
        <w:t>y</w:t>
      </w:r>
      <w:r w:rsidRPr="00D15FAE">
        <w:rPr>
          <w:szCs w:val="20"/>
        </w:rPr>
        <w:t xml:space="preserve"> </w:t>
      </w:r>
      <w:r w:rsidR="00DF2ADE">
        <w:rPr>
          <w:szCs w:val="20"/>
        </w:rPr>
        <w:t>predicted correctly</w:t>
      </w:r>
      <w:r w:rsidRPr="00D15FAE">
        <w:rPr>
          <w:szCs w:val="20"/>
        </w:rPr>
        <w:t xml:space="preserve">, for example, that: </w:t>
      </w:r>
    </w:p>
    <w:p w:rsidR="00D15FAE" w:rsidRPr="00D15FAE" w:rsidRDefault="00D15FAE" w:rsidP="00D15FAE">
      <w:pPr>
        <w:pStyle w:val="NormalWeb"/>
        <w:numPr>
          <w:ilvl w:val="0"/>
          <w:numId w:val="24"/>
        </w:numPr>
        <w:spacing w:before="0" w:beforeAutospacing="0"/>
        <w:ind w:left="714" w:right="431" w:hanging="357"/>
        <w:rPr>
          <w:rFonts w:ascii="Georgia" w:eastAsia="Calibri" w:hAnsi="Georgia"/>
          <w:sz w:val="20"/>
          <w:szCs w:val="20"/>
        </w:rPr>
      </w:pPr>
      <w:r w:rsidRPr="00D15FAE">
        <w:rPr>
          <w:rFonts w:ascii="Georgia" w:eastAsia="Calibri" w:hAnsi="Georgia"/>
          <w:sz w:val="20"/>
          <w:szCs w:val="20"/>
        </w:rPr>
        <w:t>advanced economies would contribute</w:t>
      </w:r>
      <w:r>
        <w:rPr>
          <w:rFonts w:ascii="Georgia" w:eastAsia="Calibri" w:hAnsi="Georgia"/>
          <w:sz w:val="20"/>
          <w:szCs w:val="20"/>
        </w:rPr>
        <w:t xml:space="preserve"> about 40% to global GDP growth</w:t>
      </w:r>
      <w:r w:rsidR="00DF2ADE">
        <w:rPr>
          <w:rFonts w:ascii="Georgia" w:eastAsia="Calibri" w:hAnsi="Georgia"/>
          <w:sz w:val="20"/>
          <w:szCs w:val="20"/>
        </w:rPr>
        <w:t>;</w:t>
      </w:r>
      <w:r w:rsidRPr="00D15FAE">
        <w:rPr>
          <w:rFonts w:ascii="Georgia" w:eastAsia="Calibri" w:hAnsi="Georgia"/>
          <w:sz w:val="20"/>
          <w:szCs w:val="20"/>
        </w:rPr>
        <w:t xml:space="preserve"> </w:t>
      </w:r>
    </w:p>
    <w:p w:rsidR="00D15FAE" w:rsidRPr="00D15FAE" w:rsidRDefault="00D15FAE" w:rsidP="00D15FAE">
      <w:pPr>
        <w:pStyle w:val="NormalWeb"/>
        <w:numPr>
          <w:ilvl w:val="0"/>
          <w:numId w:val="24"/>
        </w:numPr>
        <w:ind w:right="430"/>
        <w:rPr>
          <w:rFonts w:ascii="Georgia" w:eastAsia="Calibri" w:hAnsi="Georgia"/>
          <w:sz w:val="20"/>
          <w:szCs w:val="20"/>
        </w:rPr>
      </w:pPr>
      <w:r w:rsidRPr="00D15FAE">
        <w:rPr>
          <w:rFonts w:ascii="Georgia" w:eastAsia="Calibri" w:hAnsi="Georgia"/>
          <w:sz w:val="20"/>
          <w:szCs w:val="20"/>
        </w:rPr>
        <w:t>the Federal Reserve would taper their asset  pu</w:t>
      </w:r>
      <w:r>
        <w:rPr>
          <w:rFonts w:ascii="Georgia" w:eastAsia="Calibri" w:hAnsi="Georgia"/>
          <w:sz w:val="20"/>
          <w:szCs w:val="20"/>
        </w:rPr>
        <w:t>rchases to zero during the year</w:t>
      </w:r>
      <w:r w:rsidR="00DF2ADE">
        <w:rPr>
          <w:rFonts w:ascii="Georgia" w:eastAsia="Calibri" w:hAnsi="Georgia"/>
          <w:sz w:val="20"/>
          <w:szCs w:val="20"/>
        </w:rPr>
        <w:t>;</w:t>
      </w:r>
      <w:r w:rsidRPr="00D15FAE">
        <w:rPr>
          <w:rFonts w:ascii="Georgia" w:eastAsia="Calibri" w:hAnsi="Georgia"/>
          <w:sz w:val="20"/>
          <w:szCs w:val="20"/>
        </w:rPr>
        <w:t xml:space="preserve"> and </w:t>
      </w:r>
    </w:p>
    <w:p w:rsidR="00D15FAE" w:rsidRPr="00D15FAE" w:rsidRDefault="00D15FAE" w:rsidP="00D15FAE">
      <w:pPr>
        <w:pStyle w:val="NormalWeb"/>
        <w:numPr>
          <w:ilvl w:val="0"/>
          <w:numId w:val="24"/>
        </w:numPr>
        <w:ind w:right="430"/>
        <w:rPr>
          <w:rFonts w:ascii="Georgia" w:eastAsia="Calibri" w:hAnsi="Georgia"/>
          <w:sz w:val="20"/>
          <w:szCs w:val="20"/>
        </w:rPr>
      </w:pPr>
      <w:proofErr w:type="gramStart"/>
      <w:r w:rsidRPr="00D15FAE">
        <w:rPr>
          <w:rFonts w:ascii="Georgia" w:eastAsia="Calibri" w:hAnsi="Georgia"/>
          <w:sz w:val="20"/>
          <w:szCs w:val="20"/>
        </w:rPr>
        <w:t>the</w:t>
      </w:r>
      <w:proofErr w:type="gramEnd"/>
      <w:r w:rsidRPr="00D15FAE">
        <w:rPr>
          <w:rFonts w:ascii="Georgia" w:eastAsia="Calibri" w:hAnsi="Georgia"/>
          <w:sz w:val="20"/>
          <w:szCs w:val="20"/>
        </w:rPr>
        <w:t xml:space="preserve"> UK would be the fastest growing G7 economy. </w:t>
      </w:r>
    </w:p>
    <w:p w:rsidR="00D15FAE" w:rsidRPr="00D15FAE" w:rsidRDefault="00D15FAE" w:rsidP="00D15FAE">
      <w:pPr>
        <w:pStyle w:val="NormalWeb"/>
        <w:ind w:right="430"/>
        <w:rPr>
          <w:rFonts w:ascii="Georgia" w:eastAsia="Calibri" w:hAnsi="Georgia"/>
          <w:sz w:val="20"/>
          <w:szCs w:val="20"/>
        </w:rPr>
      </w:pPr>
      <w:r w:rsidRPr="00D15FAE">
        <w:rPr>
          <w:rFonts w:ascii="Georgia" w:eastAsia="Calibri" w:hAnsi="Georgia"/>
          <w:sz w:val="20"/>
          <w:szCs w:val="20"/>
        </w:rPr>
        <w:t xml:space="preserve">...but oil prices and football tripped </w:t>
      </w:r>
      <w:r>
        <w:rPr>
          <w:rFonts w:ascii="Georgia" w:eastAsia="Calibri" w:hAnsi="Georgia"/>
          <w:sz w:val="20"/>
          <w:szCs w:val="20"/>
        </w:rPr>
        <w:t>them</w:t>
      </w:r>
      <w:r w:rsidRPr="00D15FAE">
        <w:rPr>
          <w:rFonts w:ascii="Georgia" w:eastAsia="Calibri" w:hAnsi="Georgia"/>
          <w:sz w:val="20"/>
          <w:szCs w:val="20"/>
        </w:rPr>
        <w:t xml:space="preserve"> up</w:t>
      </w:r>
      <w:r>
        <w:rPr>
          <w:rFonts w:ascii="Georgia" w:eastAsia="Calibri" w:hAnsi="Georgia"/>
          <w:sz w:val="20"/>
          <w:szCs w:val="20"/>
        </w:rPr>
        <w:t>.</w:t>
      </w:r>
    </w:p>
    <w:p w:rsidR="00D15FAE" w:rsidRDefault="00D15FAE" w:rsidP="00D15FAE">
      <w:pPr>
        <w:pStyle w:val="NormalWeb"/>
        <w:spacing w:before="0" w:beforeAutospacing="0" w:after="0" w:afterAutospacing="0"/>
        <w:ind w:right="430"/>
        <w:rPr>
          <w:rFonts w:ascii="Georgia" w:eastAsia="Calibri" w:hAnsi="Georgia"/>
          <w:sz w:val="20"/>
          <w:szCs w:val="20"/>
        </w:rPr>
      </w:pPr>
      <w:r>
        <w:rPr>
          <w:rFonts w:ascii="Georgia" w:eastAsia="Calibri" w:hAnsi="Georgia"/>
          <w:sz w:val="20"/>
          <w:szCs w:val="20"/>
        </w:rPr>
        <w:t xml:space="preserve">Says Richard </w:t>
      </w:r>
      <w:proofErr w:type="spellStart"/>
      <w:r>
        <w:rPr>
          <w:rFonts w:ascii="Georgia" w:eastAsia="Calibri" w:hAnsi="Georgia"/>
          <w:sz w:val="20"/>
          <w:szCs w:val="20"/>
        </w:rPr>
        <w:t>Boxshall</w:t>
      </w:r>
      <w:proofErr w:type="spellEnd"/>
      <w:r>
        <w:rPr>
          <w:rFonts w:ascii="Georgia" w:eastAsia="Calibri" w:hAnsi="Georgia"/>
          <w:sz w:val="20"/>
          <w:szCs w:val="20"/>
        </w:rPr>
        <w:t>: “</w:t>
      </w:r>
      <w:r w:rsidRPr="00D15FAE">
        <w:rPr>
          <w:rFonts w:ascii="Georgia" w:eastAsia="Calibri" w:hAnsi="Georgia"/>
          <w:sz w:val="20"/>
          <w:szCs w:val="20"/>
        </w:rPr>
        <w:t>We didn’t get everything right.  Last year we had thought that there was a risk of upward pressure on oil prices</w:t>
      </w:r>
      <w:r>
        <w:rPr>
          <w:rFonts w:ascii="Georgia" w:eastAsia="Calibri" w:hAnsi="Georgia"/>
          <w:sz w:val="20"/>
          <w:szCs w:val="20"/>
        </w:rPr>
        <w:t>,</w:t>
      </w:r>
      <w:r w:rsidRPr="00D15FAE">
        <w:rPr>
          <w:rFonts w:ascii="Georgia" w:eastAsia="Calibri" w:hAnsi="Georgia"/>
          <w:sz w:val="20"/>
          <w:szCs w:val="20"/>
        </w:rPr>
        <w:t xml:space="preserve"> whereas the price has fallen sharply in recent months due to slowing demand and US shale oil production.  Linked to this, we had expected UK inflation to be slightly above its 2% target on average in 2014, but it has fallen well below that</w:t>
      </w:r>
      <w:r>
        <w:rPr>
          <w:rFonts w:ascii="Georgia" w:eastAsia="Calibri" w:hAnsi="Georgia"/>
          <w:sz w:val="20"/>
          <w:szCs w:val="20"/>
        </w:rPr>
        <w:t>,</w:t>
      </w:r>
      <w:r w:rsidRPr="00D15FAE">
        <w:rPr>
          <w:rFonts w:ascii="Georgia" w:eastAsia="Calibri" w:hAnsi="Georgia"/>
          <w:sz w:val="20"/>
          <w:szCs w:val="20"/>
        </w:rPr>
        <w:t xml:space="preserve"> due in large part to weaker g</w:t>
      </w:r>
      <w:r>
        <w:rPr>
          <w:rFonts w:ascii="Georgia" w:eastAsia="Calibri" w:hAnsi="Georgia"/>
          <w:sz w:val="20"/>
          <w:szCs w:val="20"/>
        </w:rPr>
        <w:t xml:space="preserve">lobal energy and food prices.  </w:t>
      </w:r>
    </w:p>
    <w:p w:rsidR="00D15FAE" w:rsidRDefault="00D15FAE" w:rsidP="00D15FAE">
      <w:pPr>
        <w:pStyle w:val="NormalWeb"/>
        <w:spacing w:before="0" w:beforeAutospacing="0" w:after="0" w:afterAutospacing="0"/>
        <w:ind w:right="430"/>
        <w:rPr>
          <w:rFonts w:ascii="Georgia" w:eastAsia="Calibri" w:hAnsi="Georgia"/>
          <w:sz w:val="20"/>
          <w:szCs w:val="20"/>
        </w:rPr>
      </w:pPr>
    </w:p>
    <w:p w:rsidR="00966D05" w:rsidRPr="00A759C4" w:rsidRDefault="00D15FAE" w:rsidP="00D15FAE">
      <w:pPr>
        <w:pStyle w:val="NormalWeb"/>
        <w:spacing w:before="0" w:beforeAutospacing="0" w:after="0" w:afterAutospacing="0"/>
        <w:ind w:right="430"/>
        <w:rPr>
          <w:rFonts w:ascii="Georgia" w:hAnsi="Georgia"/>
          <w:b/>
          <w:sz w:val="20"/>
          <w:szCs w:val="20"/>
        </w:rPr>
      </w:pPr>
      <w:r>
        <w:rPr>
          <w:rFonts w:ascii="Georgia" w:eastAsia="Calibri" w:hAnsi="Georgia"/>
          <w:sz w:val="20"/>
          <w:szCs w:val="20"/>
        </w:rPr>
        <w:t>“And o</w:t>
      </w:r>
      <w:r w:rsidRPr="00D15FAE">
        <w:rPr>
          <w:rFonts w:ascii="Georgia" w:eastAsia="Calibri" w:hAnsi="Georgia"/>
          <w:sz w:val="20"/>
          <w:szCs w:val="20"/>
        </w:rPr>
        <w:t>ur suggestion that</w:t>
      </w:r>
      <w:r>
        <w:rPr>
          <w:rFonts w:ascii="Georgia" w:eastAsia="Calibri" w:hAnsi="Georgia"/>
          <w:sz w:val="20"/>
          <w:szCs w:val="20"/>
        </w:rPr>
        <w:t xml:space="preserve"> </w:t>
      </w:r>
      <w:r w:rsidRPr="00D15FAE">
        <w:rPr>
          <w:rFonts w:ascii="Georgia" w:eastAsia="Calibri" w:hAnsi="Georgia"/>
          <w:sz w:val="20"/>
          <w:szCs w:val="20"/>
        </w:rPr>
        <w:t>Brazi</w:t>
      </w:r>
      <w:r>
        <w:rPr>
          <w:rFonts w:ascii="Georgia" w:eastAsia="Calibri" w:hAnsi="Georgia"/>
          <w:sz w:val="20"/>
          <w:szCs w:val="20"/>
        </w:rPr>
        <w:t>l w</w:t>
      </w:r>
      <w:r w:rsidR="00DF2ADE">
        <w:rPr>
          <w:rFonts w:ascii="Georgia" w:eastAsia="Calibri" w:hAnsi="Georgia"/>
          <w:sz w:val="20"/>
          <w:szCs w:val="20"/>
        </w:rPr>
        <w:t>as</w:t>
      </w:r>
      <w:r w:rsidRPr="00D15FAE">
        <w:rPr>
          <w:rFonts w:ascii="Georgia" w:eastAsia="Calibri" w:hAnsi="Georgia"/>
          <w:sz w:val="20"/>
          <w:szCs w:val="20"/>
        </w:rPr>
        <w:t xml:space="preserve"> </w:t>
      </w:r>
      <w:proofErr w:type="spellStart"/>
      <w:proofErr w:type="gramStart"/>
      <w:r w:rsidRPr="00D15FAE">
        <w:rPr>
          <w:rFonts w:ascii="Georgia" w:eastAsia="Calibri" w:hAnsi="Georgia"/>
          <w:sz w:val="20"/>
          <w:szCs w:val="20"/>
        </w:rPr>
        <w:t>favourite</w:t>
      </w:r>
      <w:proofErr w:type="spellEnd"/>
      <w:proofErr w:type="gramEnd"/>
      <w:r w:rsidRPr="00D15FAE">
        <w:rPr>
          <w:rFonts w:ascii="Georgia" w:eastAsia="Calibri" w:hAnsi="Georgia"/>
          <w:sz w:val="20"/>
          <w:szCs w:val="20"/>
        </w:rPr>
        <w:t xml:space="preserve"> to win th</w:t>
      </w:r>
      <w:r>
        <w:rPr>
          <w:rFonts w:ascii="Georgia" w:eastAsia="Calibri" w:hAnsi="Georgia"/>
          <w:sz w:val="20"/>
          <w:szCs w:val="20"/>
        </w:rPr>
        <w:t xml:space="preserve">e World Cup also came up short; </w:t>
      </w:r>
      <w:r w:rsidRPr="00D15FAE">
        <w:rPr>
          <w:rFonts w:ascii="Georgia" w:eastAsia="Calibri" w:hAnsi="Georgia"/>
          <w:sz w:val="20"/>
          <w:szCs w:val="20"/>
        </w:rPr>
        <w:t xml:space="preserve">though our second and third </w:t>
      </w:r>
      <w:proofErr w:type="spellStart"/>
      <w:r w:rsidRPr="00D15FAE">
        <w:rPr>
          <w:rFonts w:ascii="Georgia" w:eastAsia="Calibri" w:hAnsi="Georgia"/>
          <w:sz w:val="20"/>
          <w:szCs w:val="20"/>
        </w:rPr>
        <w:t>favourites</w:t>
      </w:r>
      <w:proofErr w:type="spellEnd"/>
      <w:r w:rsidRPr="00D15FAE">
        <w:rPr>
          <w:rFonts w:ascii="Georgia" w:eastAsia="Calibri" w:hAnsi="Georgia"/>
          <w:sz w:val="20"/>
          <w:szCs w:val="20"/>
        </w:rPr>
        <w:t>, Germany and Argentina, did contest the final.</w:t>
      </w:r>
      <w:r>
        <w:rPr>
          <w:rFonts w:ascii="Georgia" w:eastAsia="Calibri" w:hAnsi="Georgia"/>
          <w:sz w:val="20"/>
          <w:szCs w:val="20"/>
        </w:rPr>
        <w:t>”</w:t>
      </w:r>
    </w:p>
    <w:p w:rsidR="00D15FAE" w:rsidRDefault="00D15FAE" w:rsidP="005E10F1">
      <w:pPr>
        <w:pStyle w:val="NormalWeb"/>
        <w:spacing w:before="0" w:beforeAutospacing="0" w:after="0" w:afterAutospacing="0"/>
        <w:ind w:right="430"/>
        <w:rPr>
          <w:rFonts w:ascii="Georgia" w:hAnsi="Georgia"/>
          <w:b/>
          <w:sz w:val="20"/>
          <w:szCs w:val="20"/>
        </w:rPr>
      </w:pPr>
    </w:p>
    <w:p w:rsidR="00D15FAE" w:rsidRDefault="00D15FAE" w:rsidP="005E10F1">
      <w:pPr>
        <w:pStyle w:val="NormalWeb"/>
        <w:spacing w:before="0" w:beforeAutospacing="0" w:after="0" w:afterAutospacing="0"/>
        <w:ind w:right="430"/>
        <w:rPr>
          <w:rFonts w:ascii="Georgia" w:hAnsi="Georgia"/>
          <w:b/>
          <w:sz w:val="20"/>
          <w:szCs w:val="20"/>
        </w:rPr>
      </w:pPr>
    </w:p>
    <w:p w:rsidR="00540E97" w:rsidRPr="00A759C4" w:rsidRDefault="00540E97" w:rsidP="005E10F1">
      <w:pPr>
        <w:pStyle w:val="NormalWeb"/>
        <w:spacing w:before="0" w:beforeAutospacing="0" w:after="0" w:afterAutospacing="0"/>
        <w:ind w:right="430"/>
        <w:rPr>
          <w:rFonts w:ascii="Georgia" w:hAnsi="Georgia"/>
          <w:sz w:val="20"/>
          <w:szCs w:val="20"/>
        </w:rPr>
      </w:pPr>
      <w:r w:rsidRPr="00A759C4">
        <w:rPr>
          <w:rFonts w:ascii="Georgia" w:hAnsi="Georgia"/>
          <w:b/>
          <w:sz w:val="20"/>
          <w:szCs w:val="20"/>
        </w:rPr>
        <w:t xml:space="preserve">About PwC </w:t>
      </w:r>
    </w:p>
    <w:p w:rsidR="00540E97" w:rsidRPr="00A759C4" w:rsidRDefault="00540E97" w:rsidP="005E10F1">
      <w:pPr>
        <w:spacing w:line="240" w:lineRule="auto"/>
        <w:ind w:right="430"/>
        <w:rPr>
          <w:szCs w:val="20"/>
        </w:rPr>
      </w:pPr>
      <w:r w:rsidRPr="00A759C4">
        <w:rPr>
          <w:bCs/>
          <w:szCs w:val="20"/>
        </w:rPr>
        <w:t>P</w:t>
      </w:r>
      <w:r w:rsidRPr="00A759C4">
        <w:rPr>
          <w:szCs w:val="20"/>
        </w:rPr>
        <w:t xml:space="preserve">wC helps organisations and individuals create the value they’re looking for. We’re a network of firms in </w:t>
      </w:r>
      <w:r w:rsidR="003D6900" w:rsidRPr="00A759C4">
        <w:rPr>
          <w:szCs w:val="20"/>
        </w:rPr>
        <w:t xml:space="preserve">157 countries with more than </w:t>
      </w:r>
      <w:r w:rsidR="00945A43" w:rsidRPr="00A759C4">
        <w:rPr>
          <w:szCs w:val="20"/>
        </w:rPr>
        <w:t>195</w:t>
      </w:r>
      <w:r w:rsidRPr="00A759C4">
        <w:rPr>
          <w:szCs w:val="20"/>
        </w:rPr>
        <w:t xml:space="preserve">,000 people who are committed to delivering quality in assurance, tax and advisory services. </w:t>
      </w:r>
      <w:r w:rsidR="003D6900" w:rsidRPr="00A759C4">
        <w:rPr>
          <w:szCs w:val="20"/>
        </w:rPr>
        <w:t>Find out more and t</w:t>
      </w:r>
      <w:r w:rsidRPr="00A759C4">
        <w:rPr>
          <w:szCs w:val="20"/>
        </w:rPr>
        <w:t xml:space="preserve">ell us what matters to you by visiting us at </w:t>
      </w:r>
      <w:hyperlink r:id="rId13" w:history="1">
        <w:r w:rsidRPr="00A759C4">
          <w:rPr>
            <w:rStyle w:val="Hyperlink"/>
            <w:szCs w:val="20"/>
          </w:rPr>
          <w:t>www.pwc.com</w:t>
        </w:r>
      </w:hyperlink>
      <w:r w:rsidRPr="00A759C4">
        <w:rPr>
          <w:szCs w:val="20"/>
        </w:rPr>
        <w:t>.</w:t>
      </w:r>
    </w:p>
    <w:p w:rsidR="00982D57" w:rsidRPr="00A759C4" w:rsidRDefault="00982D57" w:rsidP="00982D57">
      <w:pPr>
        <w:pStyle w:val="NormalWeb"/>
        <w:spacing w:before="0" w:beforeAutospacing="0" w:after="0" w:afterAutospacing="0"/>
        <w:ind w:right="431"/>
        <w:rPr>
          <w:rFonts w:ascii="Georgia" w:hAnsi="Georgia"/>
          <w:sz w:val="20"/>
          <w:szCs w:val="20"/>
          <w:lang w:val="en-GB"/>
        </w:rPr>
      </w:pPr>
    </w:p>
    <w:p w:rsidR="00982D57" w:rsidRPr="00A759C4" w:rsidRDefault="00540E97" w:rsidP="00982D57">
      <w:pPr>
        <w:pStyle w:val="NormalWeb"/>
        <w:spacing w:before="0" w:beforeAutospacing="0" w:after="0" w:afterAutospacing="0"/>
        <w:ind w:right="431"/>
        <w:rPr>
          <w:rFonts w:ascii="Georgia" w:hAnsi="Georgia"/>
          <w:sz w:val="20"/>
          <w:szCs w:val="20"/>
          <w:lang w:val="en-GB"/>
        </w:rPr>
      </w:pPr>
      <w:r w:rsidRPr="00A759C4">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2D01FB" w:rsidRPr="00A759C4" w:rsidRDefault="00E067D5" w:rsidP="00901906">
      <w:pPr>
        <w:pStyle w:val="NormalWeb"/>
        <w:ind w:right="430"/>
        <w:rPr>
          <w:rFonts w:ascii="Georgia" w:hAnsi="Georgia"/>
          <w:sz w:val="20"/>
          <w:szCs w:val="20"/>
          <w:lang w:val="en-GB"/>
        </w:rPr>
      </w:pPr>
      <w:r w:rsidRPr="00A759C4">
        <w:rPr>
          <w:rFonts w:ascii="Georgia" w:hAnsi="Georgia" w:cs="Arial"/>
          <w:color w:val="000000"/>
          <w:sz w:val="20"/>
          <w:szCs w:val="20"/>
        </w:rPr>
        <w:t>©</w:t>
      </w:r>
      <w:r w:rsidR="00540E97" w:rsidRPr="00A759C4">
        <w:rPr>
          <w:rFonts w:ascii="Georgia" w:hAnsi="Georgia" w:cs="Arial"/>
          <w:color w:val="000000"/>
          <w:sz w:val="20"/>
          <w:szCs w:val="20"/>
        </w:rPr>
        <w:t>2014 PricewaterhouseCoopers. All rights reserved.</w:t>
      </w:r>
    </w:p>
    <w:sectPr w:rsidR="002D01FB" w:rsidRPr="00A759C4" w:rsidSect="00B605D8">
      <w:headerReference w:type="even" r:id="rId14"/>
      <w:headerReference w:type="default" r:id="rId15"/>
      <w:footerReference w:type="even" r:id="rId16"/>
      <w:footerReference w:type="default" r:id="rId17"/>
      <w:headerReference w:type="first" r:id="rId18"/>
      <w:footerReference w:type="first" r:id="rId19"/>
      <w:pgSz w:w="11907" w:h="16839"/>
      <w:pgMar w:top="1440" w:right="1377" w:bottom="540" w:left="144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C5" w:rsidRDefault="006758C5">
      <w:pPr>
        <w:spacing w:line="240" w:lineRule="auto"/>
      </w:pPr>
      <w:r>
        <w:separator/>
      </w:r>
    </w:p>
  </w:endnote>
  <w:endnote w:type="continuationSeparator" w:id="0">
    <w:p w:rsidR="006758C5" w:rsidRDefault="00675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9E114C">
      <w:rPr>
        <w:noProof/>
      </w:rPr>
      <w:t>2</w:t>
    </w:r>
    <w:r>
      <w:rPr>
        <w:noProof/>
      </w:rPr>
      <w:fldChar w:fldCharType="end"/>
    </w:r>
    <w:r w:rsidR="003B31B9">
      <w:t xml:space="preserve"> of </w:t>
    </w:r>
    <w:fldSimple w:instr=" NUMPAGES  \* MERGEFORMAT ">
      <w:r w:rsidR="009E114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9E114C">
      <w:rPr>
        <w:noProof/>
      </w:rPr>
      <w:t>3</w:t>
    </w:r>
    <w:r>
      <w:rPr>
        <w:noProof/>
      </w:rPr>
      <w:fldChar w:fldCharType="end"/>
    </w:r>
    <w:r w:rsidR="003B31B9">
      <w:t xml:space="preserve"> of </w:t>
    </w:r>
    <w:fldSimple w:instr=" NUMPAGES  \* MERGEFORMAT ">
      <w:r w:rsidR="009E114C">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5" w:rsidRDefault="0017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C5" w:rsidRDefault="006758C5">
      <w:pPr>
        <w:spacing w:line="240" w:lineRule="auto"/>
      </w:pPr>
      <w:r>
        <w:separator/>
      </w:r>
    </w:p>
  </w:footnote>
  <w:footnote w:type="continuationSeparator" w:id="0">
    <w:p w:rsidR="006758C5" w:rsidRDefault="006758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eastAsia="en-GB"/>
      </w:rPr>
      <w:drawing>
        <wp:anchor distT="0" distB="0" distL="114300" distR="114300" simplePos="0" relativeHeight="251658752" behindDoc="0" locked="1" layoutInCell="1" allowOverlap="1" wp14:anchorId="10979422" wp14:editId="221A9ED1">
          <wp:simplePos x="0" y="0"/>
          <wp:positionH relativeFrom="page">
            <wp:posOffset>431165</wp:posOffset>
          </wp:positionH>
          <wp:positionV relativeFrom="page">
            <wp:posOffset>490855</wp:posOffset>
          </wp:positionV>
          <wp:extent cx="1410970" cy="12687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eastAsia="en-GB"/>
      </w:rPr>
      <w:drawing>
        <wp:anchor distT="0" distB="0" distL="114300" distR="114300" simplePos="0" relativeHeight="251657728" behindDoc="0" locked="1" layoutInCell="1" allowOverlap="1" wp14:anchorId="724B6FD2" wp14:editId="530DB875">
          <wp:simplePos x="0" y="0"/>
          <wp:positionH relativeFrom="page">
            <wp:posOffset>431165</wp:posOffset>
          </wp:positionH>
          <wp:positionV relativeFrom="page">
            <wp:posOffset>490855</wp:posOffset>
          </wp:positionV>
          <wp:extent cx="1410970" cy="1268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eastAsia="en-GB"/>
      </w:rPr>
      <w:drawing>
        <wp:anchor distT="0" distB="0" distL="114300" distR="114300" simplePos="0" relativeHeight="251656704" behindDoc="0" locked="1" layoutInCell="1" allowOverlap="1" wp14:anchorId="506A535E" wp14:editId="1A0D2873">
          <wp:simplePos x="0" y="0"/>
          <wp:positionH relativeFrom="page">
            <wp:posOffset>431165</wp:posOffset>
          </wp:positionH>
          <wp:positionV relativeFrom="page">
            <wp:posOffset>490855</wp:posOffset>
          </wp:positionV>
          <wp:extent cx="1410970" cy="1268730"/>
          <wp:effectExtent l="0" t="0" r="0" b="0"/>
          <wp:wrapNone/>
          <wp:docPr id="10"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30"/>
    <w:multiLevelType w:val="hybridMultilevel"/>
    <w:tmpl w:val="869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11973"/>
    <w:multiLevelType w:val="hybridMultilevel"/>
    <w:tmpl w:val="BBFC56F6"/>
    <w:lvl w:ilvl="0" w:tplc="82F436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E70D5"/>
    <w:multiLevelType w:val="hybridMultilevel"/>
    <w:tmpl w:val="742AD920"/>
    <w:lvl w:ilvl="0" w:tplc="1FCA037A">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92039"/>
    <w:multiLevelType w:val="hybridMultilevel"/>
    <w:tmpl w:val="A146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B3C08"/>
    <w:multiLevelType w:val="hybridMultilevel"/>
    <w:tmpl w:val="869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E4773"/>
    <w:multiLevelType w:val="hybridMultilevel"/>
    <w:tmpl w:val="8E9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91ED6"/>
    <w:multiLevelType w:val="hybridMultilevel"/>
    <w:tmpl w:val="A0F0A948"/>
    <w:lvl w:ilvl="0" w:tplc="C4CA35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520BDB"/>
    <w:multiLevelType w:val="hybridMultilevel"/>
    <w:tmpl w:val="078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E668C"/>
    <w:multiLevelType w:val="hybridMultilevel"/>
    <w:tmpl w:val="8A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249C2"/>
    <w:multiLevelType w:val="hybridMultilevel"/>
    <w:tmpl w:val="97BEC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2E0AD6"/>
    <w:multiLevelType w:val="hybridMultilevel"/>
    <w:tmpl w:val="A6D2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81C61"/>
    <w:multiLevelType w:val="hybridMultilevel"/>
    <w:tmpl w:val="D10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B0381"/>
    <w:multiLevelType w:val="hybridMultilevel"/>
    <w:tmpl w:val="4B0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D0F25"/>
    <w:multiLevelType w:val="hybridMultilevel"/>
    <w:tmpl w:val="5C5CBA92"/>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4F4147B7"/>
    <w:multiLevelType w:val="hybridMultilevel"/>
    <w:tmpl w:val="FDB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63BCC"/>
    <w:multiLevelType w:val="hybridMultilevel"/>
    <w:tmpl w:val="916429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50DC51EE"/>
    <w:multiLevelType w:val="hybridMultilevel"/>
    <w:tmpl w:val="C1660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D268A"/>
    <w:multiLevelType w:val="hybridMultilevel"/>
    <w:tmpl w:val="63923D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52F958C3"/>
    <w:multiLevelType w:val="hybridMultilevel"/>
    <w:tmpl w:val="CE3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8A34AE"/>
    <w:multiLevelType w:val="hybridMultilevel"/>
    <w:tmpl w:val="8824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632433A9"/>
    <w:multiLevelType w:val="hybridMultilevel"/>
    <w:tmpl w:val="2E6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660E9"/>
    <w:multiLevelType w:val="hybridMultilevel"/>
    <w:tmpl w:val="3E74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1D5327"/>
    <w:multiLevelType w:val="hybridMultilevel"/>
    <w:tmpl w:val="70ECA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7"/>
  </w:num>
  <w:num w:numId="4">
    <w:abstractNumId w:val="5"/>
  </w:num>
  <w:num w:numId="5">
    <w:abstractNumId w:val="23"/>
  </w:num>
  <w:num w:numId="6">
    <w:abstractNumId w:val="11"/>
  </w:num>
  <w:num w:numId="7">
    <w:abstractNumId w:val="14"/>
  </w:num>
  <w:num w:numId="8">
    <w:abstractNumId w:val="18"/>
  </w:num>
  <w:num w:numId="9">
    <w:abstractNumId w:val="4"/>
  </w:num>
  <w:num w:numId="10">
    <w:abstractNumId w:val="3"/>
  </w:num>
  <w:num w:numId="11">
    <w:abstractNumId w:val="8"/>
  </w:num>
  <w:num w:numId="12">
    <w:abstractNumId w:val="12"/>
  </w:num>
  <w:num w:numId="13">
    <w:abstractNumId w:val="6"/>
  </w:num>
  <w:num w:numId="14">
    <w:abstractNumId w:val="10"/>
  </w:num>
  <w:num w:numId="15">
    <w:abstractNumId w:val="1"/>
  </w:num>
  <w:num w:numId="16">
    <w:abstractNumId w:val="21"/>
  </w:num>
  <w:num w:numId="17">
    <w:abstractNumId w:val="2"/>
  </w:num>
  <w:num w:numId="18">
    <w:abstractNumId w:val="9"/>
  </w:num>
  <w:num w:numId="19">
    <w:abstractNumId w:val="22"/>
  </w:num>
  <w:num w:numId="20">
    <w:abstractNumId w:val="16"/>
  </w:num>
  <w:num w:numId="21">
    <w:abstractNumId w:val="17"/>
  </w:num>
  <w:num w:numId="22">
    <w:abstractNumId w:val="15"/>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0623B"/>
    <w:rsid w:val="00007B3A"/>
    <w:rsid w:val="00017857"/>
    <w:rsid w:val="00026D1F"/>
    <w:rsid w:val="00051186"/>
    <w:rsid w:val="000515B7"/>
    <w:rsid w:val="00054881"/>
    <w:rsid w:val="000555FC"/>
    <w:rsid w:val="00057E34"/>
    <w:rsid w:val="00065559"/>
    <w:rsid w:val="000754C8"/>
    <w:rsid w:val="00085BFC"/>
    <w:rsid w:val="00086004"/>
    <w:rsid w:val="000B1206"/>
    <w:rsid w:val="000C44D3"/>
    <w:rsid w:val="000C6EB7"/>
    <w:rsid w:val="000D1C21"/>
    <w:rsid w:val="000E504D"/>
    <w:rsid w:val="000E5A02"/>
    <w:rsid w:val="000F3FA7"/>
    <w:rsid w:val="0011069F"/>
    <w:rsid w:val="00122691"/>
    <w:rsid w:val="00146ABC"/>
    <w:rsid w:val="0016742F"/>
    <w:rsid w:val="00176575"/>
    <w:rsid w:val="00183EAA"/>
    <w:rsid w:val="001913E6"/>
    <w:rsid w:val="00196C57"/>
    <w:rsid w:val="00196D17"/>
    <w:rsid w:val="001A6880"/>
    <w:rsid w:val="001B0F72"/>
    <w:rsid w:val="001B287E"/>
    <w:rsid w:val="001B5AB1"/>
    <w:rsid w:val="001C5A59"/>
    <w:rsid w:val="001C61FB"/>
    <w:rsid w:val="001D1376"/>
    <w:rsid w:val="001D3A50"/>
    <w:rsid w:val="00213D01"/>
    <w:rsid w:val="00223511"/>
    <w:rsid w:val="00231139"/>
    <w:rsid w:val="00235A51"/>
    <w:rsid w:val="00257C20"/>
    <w:rsid w:val="00260348"/>
    <w:rsid w:val="00260538"/>
    <w:rsid w:val="00270493"/>
    <w:rsid w:val="0027774E"/>
    <w:rsid w:val="00290F44"/>
    <w:rsid w:val="002949BD"/>
    <w:rsid w:val="00297219"/>
    <w:rsid w:val="002A6209"/>
    <w:rsid w:val="002B33E4"/>
    <w:rsid w:val="002D01FB"/>
    <w:rsid w:val="003020C2"/>
    <w:rsid w:val="00305771"/>
    <w:rsid w:val="00310E2B"/>
    <w:rsid w:val="003160E7"/>
    <w:rsid w:val="0032462C"/>
    <w:rsid w:val="00330FB1"/>
    <w:rsid w:val="00335E5A"/>
    <w:rsid w:val="00341415"/>
    <w:rsid w:val="00345F31"/>
    <w:rsid w:val="00357772"/>
    <w:rsid w:val="0038785C"/>
    <w:rsid w:val="00390C5D"/>
    <w:rsid w:val="00392A33"/>
    <w:rsid w:val="003A491F"/>
    <w:rsid w:val="003B31B9"/>
    <w:rsid w:val="003C2095"/>
    <w:rsid w:val="003C7E9F"/>
    <w:rsid w:val="003D5114"/>
    <w:rsid w:val="003D6900"/>
    <w:rsid w:val="003D6E63"/>
    <w:rsid w:val="003E6603"/>
    <w:rsid w:val="003E7683"/>
    <w:rsid w:val="00402A50"/>
    <w:rsid w:val="00411956"/>
    <w:rsid w:val="00431D62"/>
    <w:rsid w:val="00444540"/>
    <w:rsid w:val="00457F9D"/>
    <w:rsid w:val="004626F4"/>
    <w:rsid w:val="00466DC3"/>
    <w:rsid w:val="004711DA"/>
    <w:rsid w:val="00492311"/>
    <w:rsid w:val="004A07BD"/>
    <w:rsid w:val="004B30BF"/>
    <w:rsid w:val="004B5CD0"/>
    <w:rsid w:val="004C14A4"/>
    <w:rsid w:val="004C32DE"/>
    <w:rsid w:val="004C5F36"/>
    <w:rsid w:val="004C6E4E"/>
    <w:rsid w:val="004E588D"/>
    <w:rsid w:val="004F3942"/>
    <w:rsid w:val="00524883"/>
    <w:rsid w:val="00540E97"/>
    <w:rsid w:val="0056284F"/>
    <w:rsid w:val="00562B86"/>
    <w:rsid w:val="00566A64"/>
    <w:rsid w:val="0058401F"/>
    <w:rsid w:val="005A1160"/>
    <w:rsid w:val="005E10F1"/>
    <w:rsid w:val="005E2356"/>
    <w:rsid w:val="005E6985"/>
    <w:rsid w:val="005F1B36"/>
    <w:rsid w:val="006030AF"/>
    <w:rsid w:val="0063694A"/>
    <w:rsid w:val="00636FB0"/>
    <w:rsid w:val="006455EA"/>
    <w:rsid w:val="00651063"/>
    <w:rsid w:val="006609DD"/>
    <w:rsid w:val="00663A9B"/>
    <w:rsid w:val="006758C5"/>
    <w:rsid w:val="00682E7D"/>
    <w:rsid w:val="00693952"/>
    <w:rsid w:val="006A233B"/>
    <w:rsid w:val="006F7DDA"/>
    <w:rsid w:val="00701AF1"/>
    <w:rsid w:val="00702DB9"/>
    <w:rsid w:val="00714689"/>
    <w:rsid w:val="00722724"/>
    <w:rsid w:val="00734D7A"/>
    <w:rsid w:val="007503D1"/>
    <w:rsid w:val="00764122"/>
    <w:rsid w:val="00786047"/>
    <w:rsid w:val="007A2FEF"/>
    <w:rsid w:val="007A592E"/>
    <w:rsid w:val="007C6495"/>
    <w:rsid w:val="007F39E4"/>
    <w:rsid w:val="00807466"/>
    <w:rsid w:val="008155FF"/>
    <w:rsid w:val="008263C1"/>
    <w:rsid w:val="00832C2A"/>
    <w:rsid w:val="00834040"/>
    <w:rsid w:val="0083618E"/>
    <w:rsid w:val="00875FA7"/>
    <w:rsid w:val="00895B21"/>
    <w:rsid w:val="008A7070"/>
    <w:rsid w:val="008B308F"/>
    <w:rsid w:val="008B3169"/>
    <w:rsid w:val="008B5E0E"/>
    <w:rsid w:val="008E226A"/>
    <w:rsid w:val="008F40AA"/>
    <w:rsid w:val="00901906"/>
    <w:rsid w:val="00907C2C"/>
    <w:rsid w:val="009237C4"/>
    <w:rsid w:val="009324FA"/>
    <w:rsid w:val="0094208A"/>
    <w:rsid w:val="00945A43"/>
    <w:rsid w:val="00966D05"/>
    <w:rsid w:val="009707B9"/>
    <w:rsid w:val="009803AF"/>
    <w:rsid w:val="0098070E"/>
    <w:rsid w:val="00982D57"/>
    <w:rsid w:val="009B7057"/>
    <w:rsid w:val="009B72DE"/>
    <w:rsid w:val="009C5FEA"/>
    <w:rsid w:val="009E114C"/>
    <w:rsid w:val="009E37FE"/>
    <w:rsid w:val="009F0DC3"/>
    <w:rsid w:val="00A02C7A"/>
    <w:rsid w:val="00A21514"/>
    <w:rsid w:val="00A21920"/>
    <w:rsid w:val="00A27B7D"/>
    <w:rsid w:val="00A5063F"/>
    <w:rsid w:val="00A51C7A"/>
    <w:rsid w:val="00A6649C"/>
    <w:rsid w:val="00A757C2"/>
    <w:rsid w:val="00A759C4"/>
    <w:rsid w:val="00A77BFC"/>
    <w:rsid w:val="00A80976"/>
    <w:rsid w:val="00A93698"/>
    <w:rsid w:val="00AB700D"/>
    <w:rsid w:val="00AE3AE6"/>
    <w:rsid w:val="00B04BC3"/>
    <w:rsid w:val="00B05DE7"/>
    <w:rsid w:val="00B05ECB"/>
    <w:rsid w:val="00B127DA"/>
    <w:rsid w:val="00B13C6E"/>
    <w:rsid w:val="00B1442A"/>
    <w:rsid w:val="00B24BB0"/>
    <w:rsid w:val="00B36FC8"/>
    <w:rsid w:val="00B4300B"/>
    <w:rsid w:val="00B4338C"/>
    <w:rsid w:val="00B605D8"/>
    <w:rsid w:val="00B631F1"/>
    <w:rsid w:val="00B67D8E"/>
    <w:rsid w:val="00B85A85"/>
    <w:rsid w:val="00B90F54"/>
    <w:rsid w:val="00B95400"/>
    <w:rsid w:val="00BA5735"/>
    <w:rsid w:val="00BA7E20"/>
    <w:rsid w:val="00BD626D"/>
    <w:rsid w:val="00BE5B5C"/>
    <w:rsid w:val="00C07FD1"/>
    <w:rsid w:val="00C31A98"/>
    <w:rsid w:val="00C32883"/>
    <w:rsid w:val="00C43601"/>
    <w:rsid w:val="00C76C70"/>
    <w:rsid w:val="00C877C1"/>
    <w:rsid w:val="00C935FF"/>
    <w:rsid w:val="00CC3E4E"/>
    <w:rsid w:val="00CC65DD"/>
    <w:rsid w:val="00CC6D53"/>
    <w:rsid w:val="00CF0258"/>
    <w:rsid w:val="00D0076A"/>
    <w:rsid w:val="00D112F7"/>
    <w:rsid w:val="00D148C3"/>
    <w:rsid w:val="00D15A4D"/>
    <w:rsid w:val="00D15BE2"/>
    <w:rsid w:val="00D15FAE"/>
    <w:rsid w:val="00D17526"/>
    <w:rsid w:val="00D23E90"/>
    <w:rsid w:val="00D516F9"/>
    <w:rsid w:val="00D669A2"/>
    <w:rsid w:val="00DB1535"/>
    <w:rsid w:val="00DB3445"/>
    <w:rsid w:val="00DC1F72"/>
    <w:rsid w:val="00DD0FD7"/>
    <w:rsid w:val="00DF2ADE"/>
    <w:rsid w:val="00E067D5"/>
    <w:rsid w:val="00E16181"/>
    <w:rsid w:val="00E32871"/>
    <w:rsid w:val="00E3511D"/>
    <w:rsid w:val="00E3795A"/>
    <w:rsid w:val="00E41233"/>
    <w:rsid w:val="00E470D7"/>
    <w:rsid w:val="00E536E3"/>
    <w:rsid w:val="00E61069"/>
    <w:rsid w:val="00E62EA5"/>
    <w:rsid w:val="00E86189"/>
    <w:rsid w:val="00E96AC1"/>
    <w:rsid w:val="00EB2380"/>
    <w:rsid w:val="00EC6CD4"/>
    <w:rsid w:val="00EE5CC0"/>
    <w:rsid w:val="00EE7A17"/>
    <w:rsid w:val="00EF7CC3"/>
    <w:rsid w:val="00F13466"/>
    <w:rsid w:val="00F16497"/>
    <w:rsid w:val="00F21323"/>
    <w:rsid w:val="00F22C05"/>
    <w:rsid w:val="00F22F3A"/>
    <w:rsid w:val="00F4550C"/>
    <w:rsid w:val="00F562FD"/>
    <w:rsid w:val="00F768B8"/>
    <w:rsid w:val="00FA333B"/>
    <w:rsid w:val="00FB6BE5"/>
    <w:rsid w:val="00FD59C4"/>
    <w:rsid w:val="00FD6AE4"/>
    <w:rsid w:val="00FE17E3"/>
    <w:rsid w:val="00FF3E39"/>
    <w:rsid w:val="00FF4960"/>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F1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F1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1157">
      <w:bodyDiv w:val="1"/>
      <w:marLeft w:val="0"/>
      <w:marRight w:val="0"/>
      <w:marTop w:val="0"/>
      <w:marBottom w:val="0"/>
      <w:divBdr>
        <w:top w:val="none" w:sz="0" w:space="0" w:color="auto"/>
        <w:left w:val="none" w:sz="0" w:space="0" w:color="auto"/>
        <w:bottom w:val="none" w:sz="0" w:space="0" w:color="auto"/>
        <w:right w:val="none" w:sz="0" w:space="0" w:color="auto"/>
      </w:divBdr>
    </w:div>
    <w:div w:id="98566645">
      <w:bodyDiv w:val="1"/>
      <w:marLeft w:val="0"/>
      <w:marRight w:val="0"/>
      <w:marTop w:val="0"/>
      <w:marBottom w:val="0"/>
      <w:divBdr>
        <w:top w:val="none" w:sz="0" w:space="0" w:color="auto"/>
        <w:left w:val="none" w:sz="0" w:space="0" w:color="auto"/>
        <w:bottom w:val="none" w:sz="0" w:space="0" w:color="auto"/>
        <w:right w:val="none" w:sz="0" w:space="0" w:color="auto"/>
      </w:divBdr>
    </w:div>
    <w:div w:id="237903304">
      <w:bodyDiv w:val="1"/>
      <w:marLeft w:val="0"/>
      <w:marRight w:val="0"/>
      <w:marTop w:val="0"/>
      <w:marBottom w:val="0"/>
      <w:divBdr>
        <w:top w:val="none" w:sz="0" w:space="0" w:color="auto"/>
        <w:left w:val="none" w:sz="0" w:space="0" w:color="auto"/>
        <w:bottom w:val="none" w:sz="0" w:space="0" w:color="auto"/>
        <w:right w:val="none" w:sz="0" w:space="0" w:color="auto"/>
      </w:divBdr>
    </w:div>
    <w:div w:id="247080283">
      <w:bodyDiv w:val="1"/>
      <w:marLeft w:val="0"/>
      <w:marRight w:val="0"/>
      <w:marTop w:val="0"/>
      <w:marBottom w:val="0"/>
      <w:divBdr>
        <w:top w:val="none" w:sz="0" w:space="0" w:color="auto"/>
        <w:left w:val="none" w:sz="0" w:space="0" w:color="auto"/>
        <w:bottom w:val="none" w:sz="0" w:space="0" w:color="auto"/>
        <w:right w:val="none" w:sz="0" w:space="0" w:color="auto"/>
      </w:divBdr>
    </w:div>
    <w:div w:id="306516608">
      <w:bodyDiv w:val="1"/>
      <w:marLeft w:val="0"/>
      <w:marRight w:val="0"/>
      <w:marTop w:val="0"/>
      <w:marBottom w:val="0"/>
      <w:divBdr>
        <w:top w:val="none" w:sz="0" w:space="0" w:color="auto"/>
        <w:left w:val="none" w:sz="0" w:space="0" w:color="auto"/>
        <w:bottom w:val="none" w:sz="0" w:space="0" w:color="auto"/>
        <w:right w:val="none" w:sz="0" w:space="0" w:color="auto"/>
      </w:divBdr>
    </w:div>
    <w:div w:id="431708115">
      <w:bodyDiv w:val="1"/>
      <w:marLeft w:val="0"/>
      <w:marRight w:val="0"/>
      <w:marTop w:val="0"/>
      <w:marBottom w:val="0"/>
      <w:divBdr>
        <w:top w:val="none" w:sz="0" w:space="0" w:color="auto"/>
        <w:left w:val="none" w:sz="0" w:space="0" w:color="auto"/>
        <w:bottom w:val="none" w:sz="0" w:space="0" w:color="auto"/>
        <w:right w:val="none" w:sz="0" w:space="0" w:color="auto"/>
      </w:divBdr>
    </w:div>
    <w:div w:id="510216825">
      <w:bodyDiv w:val="1"/>
      <w:marLeft w:val="0"/>
      <w:marRight w:val="0"/>
      <w:marTop w:val="0"/>
      <w:marBottom w:val="0"/>
      <w:divBdr>
        <w:top w:val="none" w:sz="0" w:space="0" w:color="auto"/>
        <w:left w:val="none" w:sz="0" w:space="0" w:color="auto"/>
        <w:bottom w:val="none" w:sz="0" w:space="0" w:color="auto"/>
        <w:right w:val="none" w:sz="0" w:space="0" w:color="auto"/>
      </w:divBdr>
    </w:div>
    <w:div w:id="783766586">
      <w:bodyDiv w:val="1"/>
      <w:marLeft w:val="0"/>
      <w:marRight w:val="0"/>
      <w:marTop w:val="0"/>
      <w:marBottom w:val="0"/>
      <w:divBdr>
        <w:top w:val="none" w:sz="0" w:space="0" w:color="auto"/>
        <w:left w:val="none" w:sz="0" w:space="0" w:color="auto"/>
        <w:bottom w:val="none" w:sz="0" w:space="0" w:color="auto"/>
        <w:right w:val="none" w:sz="0" w:space="0" w:color="auto"/>
      </w:divBdr>
    </w:div>
    <w:div w:id="932128889">
      <w:bodyDiv w:val="1"/>
      <w:marLeft w:val="0"/>
      <w:marRight w:val="0"/>
      <w:marTop w:val="0"/>
      <w:marBottom w:val="0"/>
      <w:divBdr>
        <w:top w:val="none" w:sz="0" w:space="0" w:color="auto"/>
        <w:left w:val="none" w:sz="0" w:space="0" w:color="auto"/>
        <w:bottom w:val="none" w:sz="0" w:space="0" w:color="auto"/>
        <w:right w:val="none" w:sz="0" w:space="0" w:color="auto"/>
      </w:divBdr>
    </w:div>
    <w:div w:id="1042091279">
      <w:bodyDiv w:val="1"/>
      <w:marLeft w:val="0"/>
      <w:marRight w:val="0"/>
      <w:marTop w:val="0"/>
      <w:marBottom w:val="0"/>
      <w:divBdr>
        <w:top w:val="none" w:sz="0" w:space="0" w:color="auto"/>
        <w:left w:val="none" w:sz="0" w:space="0" w:color="auto"/>
        <w:bottom w:val="none" w:sz="0" w:space="0" w:color="auto"/>
        <w:right w:val="none" w:sz="0" w:space="0" w:color="auto"/>
      </w:divBdr>
    </w:div>
    <w:div w:id="1060596112">
      <w:bodyDiv w:val="1"/>
      <w:marLeft w:val="0"/>
      <w:marRight w:val="0"/>
      <w:marTop w:val="0"/>
      <w:marBottom w:val="0"/>
      <w:divBdr>
        <w:top w:val="none" w:sz="0" w:space="0" w:color="auto"/>
        <w:left w:val="none" w:sz="0" w:space="0" w:color="auto"/>
        <w:bottom w:val="none" w:sz="0" w:space="0" w:color="auto"/>
        <w:right w:val="none" w:sz="0" w:space="0" w:color="auto"/>
      </w:divBdr>
    </w:div>
    <w:div w:id="1125468515">
      <w:bodyDiv w:val="1"/>
      <w:marLeft w:val="0"/>
      <w:marRight w:val="0"/>
      <w:marTop w:val="0"/>
      <w:marBottom w:val="0"/>
      <w:divBdr>
        <w:top w:val="none" w:sz="0" w:space="0" w:color="auto"/>
        <w:left w:val="none" w:sz="0" w:space="0" w:color="auto"/>
        <w:bottom w:val="none" w:sz="0" w:space="0" w:color="auto"/>
        <w:right w:val="none" w:sz="0" w:space="0" w:color="auto"/>
      </w:divBdr>
    </w:div>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0394">
      <w:bodyDiv w:val="1"/>
      <w:marLeft w:val="0"/>
      <w:marRight w:val="0"/>
      <w:marTop w:val="0"/>
      <w:marBottom w:val="0"/>
      <w:divBdr>
        <w:top w:val="none" w:sz="0" w:space="0" w:color="auto"/>
        <w:left w:val="none" w:sz="0" w:space="0" w:color="auto"/>
        <w:bottom w:val="none" w:sz="0" w:space="0" w:color="auto"/>
        <w:right w:val="none" w:sz="0" w:space="0" w:color="auto"/>
      </w:divBdr>
    </w:div>
    <w:div w:id="1435516887">
      <w:bodyDiv w:val="1"/>
      <w:marLeft w:val="0"/>
      <w:marRight w:val="0"/>
      <w:marTop w:val="0"/>
      <w:marBottom w:val="0"/>
      <w:divBdr>
        <w:top w:val="none" w:sz="0" w:space="0" w:color="auto"/>
        <w:left w:val="none" w:sz="0" w:space="0" w:color="auto"/>
        <w:bottom w:val="none" w:sz="0" w:space="0" w:color="auto"/>
        <w:right w:val="none" w:sz="0" w:space="0" w:color="auto"/>
      </w:divBdr>
    </w:div>
    <w:div w:id="1647977672">
      <w:bodyDiv w:val="1"/>
      <w:marLeft w:val="0"/>
      <w:marRight w:val="0"/>
      <w:marTop w:val="0"/>
      <w:marBottom w:val="0"/>
      <w:divBdr>
        <w:top w:val="none" w:sz="0" w:space="0" w:color="auto"/>
        <w:left w:val="none" w:sz="0" w:space="0" w:color="auto"/>
        <w:bottom w:val="none" w:sz="0" w:space="0" w:color="auto"/>
        <w:right w:val="none" w:sz="0" w:space="0" w:color="auto"/>
      </w:divBdr>
    </w:div>
    <w:div w:id="1710253293">
      <w:bodyDiv w:val="1"/>
      <w:marLeft w:val="0"/>
      <w:marRight w:val="0"/>
      <w:marTop w:val="0"/>
      <w:marBottom w:val="0"/>
      <w:divBdr>
        <w:top w:val="none" w:sz="0" w:space="0" w:color="auto"/>
        <w:left w:val="none" w:sz="0" w:space="0" w:color="auto"/>
        <w:bottom w:val="none" w:sz="0" w:space="0" w:color="auto"/>
        <w:right w:val="none" w:sz="0" w:space="0" w:color="auto"/>
      </w:divBdr>
    </w:div>
    <w:div w:id="1742753622">
      <w:bodyDiv w:val="1"/>
      <w:marLeft w:val="0"/>
      <w:marRight w:val="0"/>
      <w:marTop w:val="0"/>
      <w:marBottom w:val="0"/>
      <w:divBdr>
        <w:top w:val="none" w:sz="0" w:space="0" w:color="auto"/>
        <w:left w:val="none" w:sz="0" w:space="0" w:color="auto"/>
        <w:bottom w:val="none" w:sz="0" w:space="0" w:color="auto"/>
        <w:right w:val="none" w:sz="0" w:space="0" w:color="auto"/>
      </w:divBdr>
    </w:div>
    <w:div w:id="1873104007">
      <w:bodyDiv w:val="1"/>
      <w:marLeft w:val="0"/>
      <w:marRight w:val="0"/>
      <w:marTop w:val="0"/>
      <w:marBottom w:val="0"/>
      <w:divBdr>
        <w:top w:val="none" w:sz="0" w:space="0" w:color="auto"/>
        <w:left w:val="none" w:sz="0" w:space="0" w:color="auto"/>
        <w:bottom w:val="none" w:sz="0" w:space="0" w:color="auto"/>
        <w:right w:val="none" w:sz="0" w:space="0" w:color="auto"/>
      </w:divBdr>
    </w:div>
    <w:div w:id="1906598622">
      <w:bodyDiv w:val="1"/>
      <w:marLeft w:val="0"/>
      <w:marRight w:val="0"/>
      <w:marTop w:val="0"/>
      <w:marBottom w:val="0"/>
      <w:divBdr>
        <w:top w:val="none" w:sz="0" w:space="0" w:color="auto"/>
        <w:left w:val="none" w:sz="0" w:space="0" w:color="auto"/>
        <w:bottom w:val="none" w:sz="0" w:space="0" w:color="auto"/>
        <w:right w:val="none" w:sz="0" w:space="0" w:color="auto"/>
      </w:divBdr>
    </w:div>
    <w:div w:id="1907911872">
      <w:bodyDiv w:val="1"/>
      <w:marLeft w:val="0"/>
      <w:marRight w:val="0"/>
      <w:marTop w:val="0"/>
      <w:marBottom w:val="0"/>
      <w:divBdr>
        <w:top w:val="none" w:sz="0" w:space="0" w:color="auto"/>
        <w:left w:val="none" w:sz="0" w:space="0" w:color="auto"/>
        <w:bottom w:val="none" w:sz="0" w:space="0" w:color="auto"/>
        <w:right w:val="none" w:sz="0" w:space="0" w:color="auto"/>
      </w:divBdr>
    </w:div>
    <w:div w:id="20385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g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wc.com/gew"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imon.reed@uk.pw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261-AE59-4C9F-9196-8A29DC1D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Simon Reed</cp:lastModifiedBy>
  <cp:revision>2</cp:revision>
  <cp:lastPrinted>2014-08-04T08:34:00Z</cp:lastPrinted>
  <dcterms:created xsi:type="dcterms:W3CDTF">2015-01-09T10:35:00Z</dcterms:created>
  <dcterms:modified xsi:type="dcterms:W3CDTF">2015-01-09T10:35:00Z</dcterms:modified>
</cp:coreProperties>
</file>