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376" w:rsidRDefault="001D1376">
      <w:pPr>
        <w:spacing w:line="240" w:lineRule="auto"/>
        <w:rPr>
          <w:sz w:val="24"/>
          <w:szCs w:val="24"/>
        </w:rPr>
      </w:pPr>
    </w:p>
    <w:p w:rsidR="001D1376" w:rsidRDefault="001D1376">
      <w:pPr>
        <w:spacing w:line="240" w:lineRule="auto"/>
        <w:rPr>
          <w:sz w:val="24"/>
          <w:szCs w:val="24"/>
        </w:rPr>
      </w:pPr>
    </w:p>
    <w:p w:rsidR="001D1376" w:rsidRDefault="001D1376">
      <w:pPr>
        <w:spacing w:line="240" w:lineRule="auto"/>
        <w:rPr>
          <w:sz w:val="24"/>
          <w:szCs w:val="24"/>
        </w:rPr>
      </w:pPr>
    </w:p>
    <w:p w:rsidR="001D1376" w:rsidRDefault="001D1376">
      <w:pPr>
        <w:spacing w:line="240" w:lineRule="auto"/>
        <w:rPr>
          <w:sz w:val="24"/>
          <w:szCs w:val="24"/>
        </w:rPr>
      </w:pPr>
    </w:p>
    <w:p w:rsidR="00734D7A" w:rsidRPr="002D01FB" w:rsidRDefault="00297219">
      <w:pPr>
        <w:spacing w:line="240" w:lineRule="auto"/>
        <w:rPr>
          <w:sz w:val="24"/>
          <w:szCs w:val="24"/>
        </w:rPr>
      </w:pPr>
      <w:r>
        <w:rPr>
          <w:noProof/>
          <w:sz w:val="24"/>
          <w:szCs w:val="24"/>
          <w:lang w:val="en-US"/>
        </w:rPr>
        <mc:AlternateContent>
          <mc:Choice Requires="wps">
            <w:drawing>
              <wp:anchor distT="0" distB="0" distL="114300" distR="114300" simplePos="0" relativeHeight="251658240" behindDoc="0" locked="1" layoutInCell="1" allowOverlap="1">
                <wp:simplePos x="0" y="0"/>
                <wp:positionH relativeFrom="page">
                  <wp:posOffset>1115695</wp:posOffset>
                </wp:positionH>
                <wp:positionV relativeFrom="page">
                  <wp:posOffset>9792335</wp:posOffset>
                </wp:positionV>
                <wp:extent cx="5905500" cy="144145"/>
                <wp:effectExtent l="10795" t="10160" r="8255" b="7620"/>
                <wp:wrapNone/>
                <wp:docPr id="5"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00" cy="144145"/>
                        </a:xfrm>
                        <a:custGeom>
                          <a:avLst/>
                          <a:gdLst>
                            <a:gd name="T0" fmla="*/ 0 w 9301"/>
                            <a:gd name="T1" fmla="*/ 228 h 228"/>
                            <a:gd name="T2" fmla="*/ 0 w 9301"/>
                            <a:gd name="T3" fmla="*/ 0 h 228"/>
                            <a:gd name="T4" fmla="*/ 9301 w 9301"/>
                            <a:gd name="T5" fmla="*/ 0 h 228"/>
                          </a:gdLst>
                          <a:ahLst/>
                          <a:cxnLst>
                            <a:cxn ang="0">
                              <a:pos x="T0" y="T1"/>
                            </a:cxn>
                            <a:cxn ang="0">
                              <a:pos x="T2" y="T3"/>
                            </a:cxn>
                            <a:cxn ang="0">
                              <a:pos x="T4" y="T5"/>
                            </a:cxn>
                          </a:cxnLst>
                          <a:rect l="0" t="0" r="r" b="b"/>
                          <a:pathLst>
                            <a:path w="9301" h="228">
                              <a:moveTo>
                                <a:pt x="0" y="228"/>
                              </a:moveTo>
                              <a:lnTo>
                                <a:pt x="0" y="0"/>
                              </a:lnTo>
                              <a:lnTo>
                                <a:pt x="9301" y="0"/>
                              </a:lnTo>
                            </a:path>
                          </a:pathLst>
                        </a:custGeom>
                        <a:noFill/>
                        <a:ln w="12700" cap="rnd">
                          <a:solidFill>
                            <a:srgbClr val="DC69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7.85pt;margin-top:771.05pt;width:465pt;height:1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" path="m,228l,,9301,e" filled="f" strokecolor="#dc6900" strokeweight="1pt">
                <v:stroke dashstyle="1 1" endcap="round"/>
                <v:path arrowok="t" o:connecttype="custom" o:connectlocs="0,144145;0,0;5905500,0" o:connectangles="0,0,0"/>
                <o:lock v:ext="edit" aspectratio="t"/>
                <w10:wrap anchorx="page" anchory="page"/>
                <w10:anchorlock/>
              </v:shape>
            </w:pict>
          </mc:Fallback>
        </mc:AlternateContent>
      </w:r>
    </w:p>
    <w:p w:rsidR="00734D7A" w:rsidRDefault="003B31B9">
      <w:pPr>
        <w:pStyle w:val="Title"/>
        <w:spacing w:after="0"/>
        <w:rPr>
          <w:rFonts w:ascii="Georgia" w:hAnsi="Georgia"/>
          <w:szCs w:val="24"/>
        </w:rPr>
      </w:pPr>
      <w:r w:rsidRPr="002D01FB">
        <w:rPr>
          <w:rFonts w:ascii="Georgia" w:hAnsi="Georgia"/>
          <w:szCs w:val="24"/>
        </w:rPr>
        <w:t>News release</w:t>
      </w:r>
    </w:p>
    <w:p w:rsidR="00297219" w:rsidRPr="00297219" w:rsidRDefault="00297219" w:rsidP="00297219"/>
    <w:tbl>
      <w:tblPr>
        <w:tblW w:w="0" w:type="auto"/>
        <w:tblLayout w:type="fixed"/>
        <w:tblLook w:val="0000" w:firstRow="0" w:lastRow="0" w:firstColumn="0" w:lastColumn="0" w:noHBand="0" w:noVBand="0"/>
      </w:tblPr>
      <w:tblGrid>
        <w:gridCol w:w="2268"/>
        <w:gridCol w:w="4645"/>
      </w:tblGrid>
      <w:tr w:rsidR="00734D7A" w:rsidRPr="002D01FB">
        <w:tc>
          <w:tcPr>
            <w:tcW w:w="2268" w:type="dxa"/>
          </w:tcPr>
          <w:p w:rsidR="00734D7A" w:rsidRPr="006030AF" w:rsidRDefault="003B31B9">
            <w:pPr>
              <w:spacing w:line="240" w:lineRule="auto"/>
              <w:rPr>
                <w:i/>
                <w:sz w:val="22"/>
              </w:rPr>
            </w:pPr>
            <w:r w:rsidRPr="006030AF">
              <w:rPr>
                <w:i/>
                <w:sz w:val="22"/>
              </w:rPr>
              <w:t>Date</w:t>
            </w:r>
          </w:p>
        </w:tc>
        <w:tc>
          <w:tcPr>
            <w:tcW w:w="4645" w:type="dxa"/>
          </w:tcPr>
          <w:p w:rsidR="00734D7A" w:rsidRPr="006030AF" w:rsidRDefault="00B36FC8">
            <w:pPr>
              <w:spacing w:line="240" w:lineRule="auto"/>
              <w:rPr>
                <w:sz w:val="22"/>
              </w:rPr>
            </w:pPr>
            <w:r>
              <w:rPr>
                <w:sz w:val="22"/>
              </w:rPr>
              <w:t>3</w:t>
            </w:r>
            <w:r w:rsidR="0083618E" w:rsidRPr="006030AF">
              <w:rPr>
                <w:sz w:val="22"/>
              </w:rPr>
              <w:t xml:space="preserve"> </w:t>
            </w:r>
            <w:r>
              <w:rPr>
                <w:sz w:val="22"/>
              </w:rPr>
              <w:t>October</w:t>
            </w:r>
            <w:r w:rsidR="008E226A" w:rsidRPr="006030AF">
              <w:rPr>
                <w:sz w:val="22"/>
              </w:rPr>
              <w:t xml:space="preserve"> 2</w:t>
            </w:r>
            <w:r w:rsidR="003B31B9" w:rsidRPr="006030AF">
              <w:rPr>
                <w:sz w:val="22"/>
              </w:rPr>
              <w:t>01</w:t>
            </w:r>
            <w:r w:rsidR="0083618E" w:rsidRPr="006030AF">
              <w:rPr>
                <w:sz w:val="22"/>
              </w:rPr>
              <w:t>4</w:t>
            </w:r>
          </w:p>
          <w:p w:rsidR="00734D7A" w:rsidRPr="006030AF" w:rsidRDefault="00734D7A">
            <w:pPr>
              <w:spacing w:line="240" w:lineRule="auto"/>
              <w:rPr>
                <w:sz w:val="22"/>
              </w:rPr>
            </w:pPr>
          </w:p>
        </w:tc>
      </w:tr>
      <w:tr w:rsidR="00734D7A" w:rsidRPr="002D01FB">
        <w:tc>
          <w:tcPr>
            <w:tcW w:w="2268" w:type="dxa"/>
          </w:tcPr>
          <w:p w:rsidR="00734D7A" w:rsidRPr="006030AF" w:rsidRDefault="003B31B9">
            <w:pPr>
              <w:spacing w:line="240" w:lineRule="auto"/>
              <w:rPr>
                <w:i/>
                <w:sz w:val="22"/>
              </w:rPr>
            </w:pPr>
            <w:r w:rsidRPr="006030AF">
              <w:rPr>
                <w:i/>
                <w:sz w:val="22"/>
              </w:rPr>
              <w:t>Contact</w:t>
            </w:r>
          </w:p>
        </w:tc>
        <w:tc>
          <w:tcPr>
            <w:tcW w:w="4645" w:type="dxa"/>
          </w:tcPr>
          <w:p w:rsidR="00734D7A" w:rsidRPr="006030AF" w:rsidRDefault="00F22F3A">
            <w:pPr>
              <w:tabs>
                <w:tab w:val="left" w:pos="1440"/>
              </w:tabs>
              <w:spacing w:line="240" w:lineRule="auto"/>
              <w:ind w:left="1440" w:hanging="1440"/>
              <w:rPr>
                <w:bCs/>
                <w:color w:val="000000"/>
                <w:sz w:val="22"/>
              </w:rPr>
            </w:pPr>
            <w:r>
              <w:rPr>
                <w:bCs/>
                <w:color w:val="000000"/>
                <w:sz w:val="22"/>
              </w:rPr>
              <w:t>Simon Reed</w:t>
            </w:r>
            <w:r w:rsidR="003B31B9" w:rsidRPr="006030AF">
              <w:rPr>
                <w:bCs/>
                <w:color w:val="000000"/>
                <w:sz w:val="22"/>
              </w:rPr>
              <w:t xml:space="preserve">, PwC </w:t>
            </w:r>
          </w:p>
          <w:p w:rsidR="00734D7A" w:rsidRPr="006030AF" w:rsidRDefault="00F22F3A">
            <w:pPr>
              <w:tabs>
                <w:tab w:val="left" w:pos="1440"/>
              </w:tabs>
              <w:spacing w:line="240" w:lineRule="auto"/>
              <w:rPr>
                <w:color w:val="000000"/>
                <w:sz w:val="22"/>
                <w:lang w:val="pt-BR"/>
              </w:rPr>
            </w:pPr>
            <w:r>
              <w:rPr>
                <w:color w:val="000000"/>
                <w:sz w:val="22"/>
                <w:lang w:val="pt-BR"/>
              </w:rPr>
              <w:t>+44 207 804 2836</w:t>
            </w:r>
          </w:p>
          <w:p w:rsidR="00734D7A" w:rsidRPr="008B5E0E" w:rsidRDefault="003B31B9" w:rsidP="008B5E0E">
            <w:pPr>
              <w:tabs>
                <w:tab w:val="left" w:pos="1440"/>
              </w:tabs>
              <w:spacing w:line="240" w:lineRule="auto"/>
              <w:rPr>
                <w:color w:val="000000"/>
                <w:sz w:val="22"/>
                <w:lang w:val="pt-BR"/>
              </w:rPr>
            </w:pPr>
            <w:r w:rsidRPr="006030AF">
              <w:rPr>
                <w:color w:val="000000"/>
                <w:sz w:val="22"/>
                <w:lang w:val="pt-BR"/>
              </w:rPr>
              <w:t xml:space="preserve">e-mail: </w:t>
            </w:r>
            <w:r w:rsidR="00F22F3A">
              <w:rPr>
                <w:color w:val="000000"/>
                <w:sz w:val="22"/>
                <w:lang w:val="pt-BR"/>
              </w:rPr>
              <w:t>simon</w:t>
            </w:r>
            <w:r w:rsidRPr="006030AF">
              <w:rPr>
                <w:color w:val="000000"/>
                <w:sz w:val="22"/>
                <w:lang w:val="pt-BR"/>
              </w:rPr>
              <w:t>.</w:t>
            </w:r>
            <w:r w:rsidR="00F22F3A">
              <w:rPr>
                <w:color w:val="000000"/>
                <w:sz w:val="22"/>
                <w:lang w:val="pt-BR"/>
              </w:rPr>
              <w:t>reed</w:t>
            </w:r>
            <w:r w:rsidRPr="006030AF">
              <w:rPr>
                <w:color w:val="000000"/>
                <w:sz w:val="22"/>
                <w:lang w:val="pt-BR"/>
              </w:rPr>
              <w:t>@uk.pwc.com</w:t>
            </w:r>
          </w:p>
        </w:tc>
      </w:tr>
    </w:tbl>
    <w:p w:rsidR="00297219" w:rsidRPr="002D01FB" w:rsidRDefault="00297219" w:rsidP="00297219">
      <w:pPr>
        <w:spacing w:line="240" w:lineRule="auto"/>
        <w:rPr>
          <w:sz w:val="24"/>
          <w:szCs w:val="24"/>
        </w:rPr>
      </w:pPr>
      <w:r>
        <w:rPr>
          <w:noProof/>
          <w:sz w:val="24"/>
          <w:szCs w:val="24"/>
          <w:lang w:val="en-US"/>
        </w:rPr>
        <mc:AlternateContent>
          <mc:Choice Requires="wps">
            <w:drawing>
              <wp:anchor distT="0" distB="0" distL="114300" distR="114300" simplePos="0" relativeHeight="251660288" behindDoc="0" locked="1" layoutInCell="1" allowOverlap="1" wp14:anchorId="11D1C577" wp14:editId="37912373">
                <wp:simplePos x="0" y="0"/>
                <wp:positionH relativeFrom="page">
                  <wp:posOffset>1115695</wp:posOffset>
                </wp:positionH>
                <wp:positionV relativeFrom="page">
                  <wp:posOffset>9792335</wp:posOffset>
                </wp:positionV>
                <wp:extent cx="5905500" cy="144145"/>
                <wp:effectExtent l="10795" t="10160" r="8255" b="7620"/>
                <wp:wrapNone/>
                <wp:docPr id="4" name="Freeform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00" cy="144145"/>
                        </a:xfrm>
                        <a:custGeom>
                          <a:avLst/>
                          <a:gdLst>
                            <a:gd name="T0" fmla="*/ 0 w 9301"/>
                            <a:gd name="T1" fmla="*/ 228 h 228"/>
                            <a:gd name="T2" fmla="*/ 0 w 9301"/>
                            <a:gd name="T3" fmla="*/ 0 h 228"/>
                            <a:gd name="T4" fmla="*/ 9301 w 9301"/>
                            <a:gd name="T5" fmla="*/ 0 h 228"/>
                          </a:gdLst>
                          <a:ahLst/>
                          <a:cxnLst>
                            <a:cxn ang="0">
                              <a:pos x="T0" y="T1"/>
                            </a:cxn>
                            <a:cxn ang="0">
                              <a:pos x="T2" y="T3"/>
                            </a:cxn>
                            <a:cxn ang="0">
                              <a:pos x="T4" y="T5"/>
                            </a:cxn>
                          </a:cxnLst>
                          <a:rect l="0" t="0" r="r" b="b"/>
                          <a:pathLst>
                            <a:path w="9301" h="228">
                              <a:moveTo>
                                <a:pt x="0" y="228"/>
                              </a:moveTo>
                              <a:lnTo>
                                <a:pt x="0" y="0"/>
                              </a:lnTo>
                              <a:lnTo>
                                <a:pt x="9301" y="0"/>
                              </a:lnTo>
                            </a:path>
                          </a:pathLst>
                        </a:custGeom>
                        <a:noFill/>
                        <a:ln w="12700" cap="rnd">
                          <a:solidFill>
                            <a:srgbClr val="DC69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87.85pt;margin-top:771.05pt;width:465pt;height:1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" path="m,228l,,9301,e" filled="f" strokecolor="#dc6900" strokeweight="1pt">
                <v:stroke dashstyle="1 1" endcap="round"/>
                <v:path arrowok="t" o:connecttype="custom" o:connectlocs="0,144145;0,0;5905500,0" o:connectangles="0,0,0"/>
                <o:lock v:ext="edit" aspectratio="t"/>
                <w10:wrap anchorx="page" anchory="page"/>
                <w10:anchorlock/>
              </v:shape>
            </w:pict>
          </mc:Fallback>
        </mc:AlternateContent>
      </w:r>
    </w:p>
    <w:p w:rsidR="00297219" w:rsidRDefault="00297219" w:rsidP="003E6603">
      <w:pPr>
        <w:pStyle w:val="Title"/>
        <w:spacing w:after="0"/>
        <w:ind w:right="430"/>
        <w:rPr>
          <w:rFonts w:ascii="Georgia" w:hAnsi="Georgia"/>
          <w:szCs w:val="24"/>
        </w:rPr>
      </w:pPr>
    </w:p>
    <w:p w:rsidR="001B287E" w:rsidRPr="00B05ECB" w:rsidRDefault="001B287E" w:rsidP="001B287E">
      <w:pPr>
        <w:pStyle w:val="BodyText3"/>
        <w:spacing w:after="0"/>
        <w:ind w:right="790"/>
        <w:jc w:val="center"/>
        <w:rPr>
          <w:b/>
          <w:sz w:val="24"/>
          <w:szCs w:val="24"/>
        </w:rPr>
      </w:pPr>
      <w:r w:rsidRPr="00B05ECB">
        <w:rPr>
          <w:b/>
          <w:sz w:val="24"/>
          <w:szCs w:val="24"/>
        </w:rPr>
        <w:t>V</w:t>
      </w:r>
      <w:r w:rsidR="008155FF">
        <w:rPr>
          <w:b/>
          <w:sz w:val="24"/>
          <w:szCs w:val="24"/>
        </w:rPr>
        <w:t>olume</w:t>
      </w:r>
      <w:r w:rsidRPr="00B05ECB">
        <w:rPr>
          <w:b/>
          <w:sz w:val="24"/>
          <w:szCs w:val="24"/>
        </w:rPr>
        <w:t xml:space="preserve"> of global </w:t>
      </w:r>
      <w:r w:rsidR="008155FF">
        <w:rPr>
          <w:b/>
          <w:sz w:val="24"/>
          <w:szCs w:val="24"/>
        </w:rPr>
        <w:t xml:space="preserve">goods </w:t>
      </w:r>
      <w:r w:rsidRPr="00B05ECB">
        <w:rPr>
          <w:b/>
          <w:sz w:val="24"/>
          <w:szCs w:val="24"/>
        </w:rPr>
        <w:t xml:space="preserve">trade set to nearly double by 2030, </w:t>
      </w:r>
    </w:p>
    <w:p w:rsidR="00734D7A" w:rsidRPr="00B05ECB" w:rsidRDefault="001B287E" w:rsidP="001B287E">
      <w:pPr>
        <w:pStyle w:val="BodyText3"/>
        <w:spacing w:after="0"/>
        <w:ind w:right="790"/>
        <w:jc w:val="center"/>
        <w:rPr>
          <w:b/>
          <w:sz w:val="24"/>
          <w:szCs w:val="24"/>
        </w:rPr>
      </w:pPr>
      <w:r w:rsidRPr="00B05ECB">
        <w:rPr>
          <w:b/>
          <w:sz w:val="24"/>
          <w:szCs w:val="24"/>
        </w:rPr>
        <w:t>say PwC economists</w:t>
      </w:r>
    </w:p>
    <w:p w:rsidR="006609DD" w:rsidRDefault="006609DD" w:rsidP="003E6603">
      <w:pPr>
        <w:pStyle w:val="BodyText3"/>
        <w:spacing w:after="0"/>
        <w:ind w:right="790"/>
        <w:jc w:val="center"/>
        <w:rPr>
          <w:b/>
          <w:sz w:val="22"/>
          <w:szCs w:val="22"/>
        </w:rPr>
      </w:pPr>
    </w:p>
    <w:p w:rsidR="008155FF" w:rsidRPr="001D1376" w:rsidRDefault="008155FF" w:rsidP="006609DD">
      <w:pPr>
        <w:pStyle w:val="BodyText3"/>
        <w:numPr>
          <w:ilvl w:val="0"/>
          <w:numId w:val="6"/>
        </w:numPr>
        <w:spacing w:after="0"/>
        <w:ind w:right="790"/>
        <w:rPr>
          <w:i/>
          <w:sz w:val="22"/>
          <w:szCs w:val="22"/>
        </w:rPr>
      </w:pPr>
      <w:r>
        <w:rPr>
          <w:i/>
          <w:sz w:val="22"/>
          <w:szCs w:val="22"/>
        </w:rPr>
        <w:t>Trade between emergin</w:t>
      </w:r>
      <w:r w:rsidR="00807466">
        <w:rPr>
          <w:i/>
          <w:sz w:val="22"/>
          <w:szCs w:val="22"/>
        </w:rPr>
        <w:t>g</w:t>
      </w:r>
      <w:r>
        <w:rPr>
          <w:i/>
          <w:sz w:val="22"/>
          <w:szCs w:val="22"/>
        </w:rPr>
        <w:t xml:space="preserve"> economies is projected to grow by around 6% per annum in the period to 2030, almost twice the global average rate</w:t>
      </w:r>
    </w:p>
    <w:p w:rsidR="006609DD" w:rsidRPr="00F22F3A" w:rsidRDefault="00B05ECB" w:rsidP="006609DD">
      <w:pPr>
        <w:pStyle w:val="BodyText3"/>
        <w:numPr>
          <w:ilvl w:val="0"/>
          <w:numId w:val="6"/>
        </w:numPr>
        <w:spacing w:after="0"/>
        <w:ind w:right="790"/>
        <w:rPr>
          <w:i/>
          <w:sz w:val="22"/>
          <w:szCs w:val="22"/>
        </w:rPr>
      </w:pPr>
      <w:r>
        <w:rPr>
          <w:rFonts w:cs="Georgia"/>
          <w:i/>
          <w:color w:val="000000"/>
          <w:sz w:val="22"/>
          <w:szCs w:val="22"/>
          <w:lang w:val="en-US"/>
        </w:rPr>
        <w:t>Asian countries likely to be ‘leading actors’</w:t>
      </w:r>
      <w:r w:rsidR="008B5E0E">
        <w:rPr>
          <w:rFonts w:cs="Georgia"/>
          <w:i/>
          <w:color w:val="000000"/>
          <w:sz w:val="22"/>
          <w:szCs w:val="22"/>
          <w:lang w:val="en-US"/>
        </w:rPr>
        <w:t xml:space="preserve"> on the global trade stage</w:t>
      </w:r>
    </w:p>
    <w:p w:rsidR="008B5E0E" w:rsidRPr="001D1376" w:rsidRDefault="008B5E0E" w:rsidP="001D1376">
      <w:pPr>
        <w:pStyle w:val="BodyText3"/>
        <w:numPr>
          <w:ilvl w:val="0"/>
          <w:numId w:val="6"/>
        </w:numPr>
        <w:spacing w:after="0"/>
        <w:ind w:right="790"/>
        <w:rPr>
          <w:i/>
          <w:sz w:val="22"/>
          <w:szCs w:val="22"/>
        </w:rPr>
      </w:pPr>
      <w:r>
        <w:rPr>
          <w:rFonts w:cs="Georgia"/>
          <w:i/>
          <w:color w:val="000000"/>
          <w:sz w:val="22"/>
          <w:szCs w:val="22"/>
          <w:lang w:val="en-US"/>
        </w:rPr>
        <w:t>China expected to bolster its position as the top global goods trading hub</w:t>
      </w:r>
    </w:p>
    <w:p w:rsidR="00734D7A" w:rsidRPr="002D01FB" w:rsidRDefault="00734D7A" w:rsidP="005E10F1">
      <w:pPr>
        <w:rPr>
          <w:sz w:val="24"/>
          <w:szCs w:val="24"/>
        </w:rPr>
      </w:pPr>
    </w:p>
    <w:p w:rsidR="00341415" w:rsidRDefault="00FE17E3" w:rsidP="006609DD">
      <w:pPr>
        <w:autoSpaceDE w:val="0"/>
        <w:autoSpaceDN w:val="0"/>
        <w:adjustRightInd w:val="0"/>
        <w:spacing w:line="240" w:lineRule="auto"/>
        <w:ind w:right="430"/>
        <w:rPr>
          <w:rFonts w:cs="Georgia"/>
          <w:color w:val="000000"/>
          <w:szCs w:val="20"/>
          <w:lang w:val="en-US"/>
        </w:rPr>
      </w:pPr>
      <w:r>
        <w:rPr>
          <w:rFonts w:cs="Georgia"/>
          <w:color w:val="000000"/>
          <w:szCs w:val="20"/>
          <w:lang w:val="en-US"/>
        </w:rPr>
        <w:t>The v</w:t>
      </w:r>
      <w:r w:rsidR="008155FF">
        <w:rPr>
          <w:rFonts w:cs="Georgia"/>
          <w:color w:val="000000"/>
          <w:szCs w:val="20"/>
          <w:lang w:val="en-US"/>
        </w:rPr>
        <w:t>olume</w:t>
      </w:r>
      <w:r>
        <w:rPr>
          <w:rFonts w:cs="Georgia"/>
          <w:color w:val="000000"/>
          <w:szCs w:val="20"/>
          <w:lang w:val="en-US"/>
        </w:rPr>
        <w:t xml:space="preserve"> of global </w:t>
      </w:r>
      <w:r w:rsidR="008155FF">
        <w:rPr>
          <w:rFonts w:cs="Georgia"/>
          <w:color w:val="000000"/>
          <w:szCs w:val="20"/>
          <w:lang w:val="en-US"/>
        </w:rPr>
        <w:t xml:space="preserve">goods </w:t>
      </w:r>
      <w:r>
        <w:rPr>
          <w:rFonts w:cs="Georgia"/>
          <w:color w:val="000000"/>
          <w:szCs w:val="20"/>
          <w:lang w:val="en-US"/>
        </w:rPr>
        <w:t>trade is set to nearly double to around $18 trillion by the year 2030, according to analysis by PwC</w:t>
      </w:r>
      <w:r w:rsidR="00CC3E4E">
        <w:rPr>
          <w:rFonts w:cs="Georgia"/>
          <w:color w:val="000000"/>
          <w:szCs w:val="20"/>
          <w:lang w:val="en-US"/>
        </w:rPr>
        <w:t xml:space="preserve"> economists</w:t>
      </w:r>
      <w:r>
        <w:rPr>
          <w:rFonts w:cs="Georgia"/>
          <w:color w:val="000000"/>
          <w:szCs w:val="20"/>
          <w:lang w:val="en-US"/>
        </w:rPr>
        <w:t>.</w:t>
      </w:r>
    </w:p>
    <w:p w:rsidR="00FE17E3" w:rsidRDefault="00FE17E3" w:rsidP="006609DD">
      <w:pPr>
        <w:autoSpaceDE w:val="0"/>
        <w:autoSpaceDN w:val="0"/>
        <w:adjustRightInd w:val="0"/>
        <w:spacing w:line="240" w:lineRule="auto"/>
        <w:ind w:right="430"/>
        <w:rPr>
          <w:rFonts w:cs="Georgia"/>
          <w:color w:val="000000"/>
          <w:szCs w:val="20"/>
          <w:lang w:val="en-US"/>
        </w:rPr>
      </w:pPr>
    </w:p>
    <w:p w:rsidR="00FE17E3" w:rsidRDefault="00FE17E3" w:rsidP="006609DD">
      <w:pPr>
        <w:autoSpaceDE w:val="0"/>
        <w:autoSpaceDN w:val="0"/>
        <w:adjustRightInd w:val="0"/>
        <w:spacing w:line="240" w:lineRule="auto"/>
        <w:ind w:right="430"/>
        <w:rPr>
          <w:rFonts w:cs="Georgia"/>
          <w:color w:val="000000"/>
          <w:szCs w:val="20"/>
          <w:lang w:val="en-US"/>
        </w:rPr>
      </w:pPr>
      <w:r>
        <w:rPr>
          <w:rFonts w:cs="Georgia"/>
          <w:color w:val="000000"/>
          <w:szCs w:val="20"/>
          <w:lang w:val="en-US"/>
        </w:rPr>
        <w:t>And projections show there will be a reshuffling of the leading ‘actors’ on the global trade stage, with Asia becoming ever more important.</w:t>
      </w:r>
    </w:p>
    <w:p w:rsidR="00FE17E3" w:rsidRDefault="00FE17E3" w:rsidP="006609DD">
      <w:pPr>
        <w:autoSpaceDE w:val="0"/>
        <w:autoSpaceDN w:val="0"/>
        <w:adjustRightInd w:val="0"/>
        <w:spacing w:line="240" w:lineRule="auto"/>
        <w:ind w:right="430"/>
        <w:rPr>
          <w:rFonts w:cs="Georgia"/>
          <w:color w:val="000000"/>
          <w:szCs w:val="20"/>
          <w:lang w:val="en-US"/>
        </w:rPr>
      </w:pPr>
    </w:p>
    <w:p w:rsidR="00FE17E3" w:rsidRDefault="00FE17E3" w:rsidP="006609DD">
      <w:pPr>
        <w:autoSpaceDE w:val="0"/>
        <w:autoSpaceDN w:val="0"/>
        <w:adjustRightInd w:val="0"/>
        <w:spacing w:line="240" w:lineRule="auto"/>
        <w:ind w:right="430"/>
        <w:rPr>
          <w:rFonts w:cs="Georgia"/>
          <w:color w:val="000000"/>
          <w:szCs w:val="20"/>
          <w:lang w:val="en-US"/>
        </w:rPr>
      </w:pPr>
      <w:r>
        <w:rPr>
          <w:rFonts w:cs="Georgia"/>
          <w:color w:val="000000"/>
          <w:szCs w:val="20"/>
          <w:lang w:val="en-US"/>
        </w:rPr>
        <w:t xml:space="preserve">As </w:t>
      </w:r>
      <w:r w:rsidR="00CC3E4E">
        <w:rPr>
          <w:rFonts w:cs="Georgia"/>
          <w:color w:val="000000"/>
          <w:szCs w:val="20"/>
          <w:lang w:val="en-US"/>
        </w:rPr>
        <w:t xml:space="preserve">policymakers gather later this month in Washington DC to assess global economic growth </w:t>
      </w:r>
      <w:r w:rsidR="0000623B">
        <w:rPr>
          <w:rFonts w:cs="Georgia"/>
          <w:color w:val="000000"/>
          <w:szCs w:val="20"/>
          <w:lang w:val="en-US"/>
        </w:rPr>
        <w:t xml:space="preserve">prospects, the outlook looks less optimistic than it did in January </w:t>
      </w:r>
      <w:r w:rsidR="0000623B" w:rsidRPr="001B287E">
        <w:rPr>
          <w:rFonts w:cs="Georgia"/>
          <w:i/>
          <w:color w:val="000000"/>
          <w:szCs w:val="20"/>
          <w:lang w:val="en-US"/>
        </w:rPr>
        <w:t xml:space="preserve">(see </w:t>
      </w:r>
      <w:r w:rsidR="003020C2">
        <w:rPr>
          <w:rFonts w:cs="Georgia"/>
          <w:i/>
          <w:color w:val="000000"/>
          <w:szCs w:val="20"/>
          <w:lang w:val="en-US"/>
        </w:rPr>
        <w:t>F</w:t>
      </w:r>
      <w:r w:rsidR="0000623B" w:rsidRPr="001B287E">
        <w:rPr>
          <w:rFonts w:cs="Georgia"/>
          <w:i/>
          <w:color w:val="000000"/>
          <w:szCs w:val="20"/>
          <w:lang w:val="en-US"/>
        </w:rPr>
        <w:t>igure</w:t>
      </w:r>
      <w:r w:rsidR="001B287E" w:rsidRPr="001B287E">
        <w:rPr>
          <w:rFonts w:cs="Georgia"/>
          <w:i/>
          <w:color w:val="000000"/>
          <w:szCs w:val="20"/>
          <w:lang w:val="en-US"/>
        </w:rPr>
        <w:t xml:space="preserve"> 1</w:t>
      </w:r>
      <w:r w:rsidR="0000623B" w:rsidRPr="001B287E">
        <w:rPr>
          <w:rFonts w:cs="Georgia"/>
          <w:i/>
          <w:color w:val="000000"/>
          <w:szCs w:val="20"/>
          <w:lang w:val="en-US"/>
        </w:rPr>
        <w:t xml:space="preserve"> below)</w:t>
      </w:r>
      <w:r w:rsidR="0000623B">
        <w:rPr>
          <w:rFonts w:cs="Georgia"/>
          <w:color w:val="000000"/>
          <w:szCs w:val="20"/>
          <w:lang w:val="en-US"/>
        </w:rPr>
        <w:t>. This is mainly due to one-off events in the US and disappointing outturns in Japan and the Eurozone.</w:t>
      </w:r>
    </w:p>
    <w:p w:rsidR="0000623B" w:rsidRDefault="0000623B" w:rsidP="006609DD">
      <w:pPr>
        <w:autoSpaceDE w:val="0"/>
        <w:autoSpaceDN w:val="0"/>
        <w:adjustRightInd w:val="0"/>
        <w:spacing w:line="240" w:lineRule="auto"/>
        <w:ind w:right="430"/>
        <w:rPr>
          <w:rFonts w:cs="Georgia"/>
          <w:color w:val="000000"/>
          <w:szCs w:val="20"/>
          <w:lang w:val="en-US"/>
        </w:rPr>
      </w:pPr>
    </w:p>
    <w:p w:rsidR="003020C2" w:rsidRDefault="003020C2" w:rsidP="003020C2">
      <w:pPr>
        <w:autoSpaceDE w:val="0"/>
        <w:autoSpaceDN w:val="0"/>
        <w:adjustRightInd w:val="0"/>
        <w:spacing w:line="240" w:lineRule="auto"/>
        <w:ind w:right="430"/>
        <w:rPr>
          <w:rFonts w:cs="Georgia"/>
          <w:b/>
          <w:bCs/>
          <w:i/>
          <w:iCs/>
          <w:color w:val="000000"/>
          <w:szCs w:val="20"/>
          <w:lang w:val="en-IN"/>
        </w:rPr>
      </w:pPr>
      <w:r w:rsidRPr="003020C2">
        <w:rPr>
          <w:rFonts w:cs="Georgia"/>
          <w:b/>
          <w:bCs/>
          <w:i/>
          <w:iCs/>
          <w:color w:val="000000"/>
          <w:szCs w:val="20"/>
          <w:lang w:val="en-IN"/>
        </w:rPr>
        <w:t xml:space="preserve">Fig 1: We have lowered our 2014 projections for global growth and for growth in the US and Japan since the beginning of the year </w:t>
      </w:r>
    </w:p>
    <w:p w:rsidR="003020C2" w:rsidRPr="003020C2" w:rsidRDefault="003020C2" w:rsidP="003020C2">
      <w:pPr>
        <w:autoSpaceDE w:val="0"/>
        <w:autoSpaceDN w:val="0"/>
        <w:adjustRightInd w:val="0"/>
        <w:spacing w:line="240" w:lineRule="auto"/>
        <w:ind w:right="430"/>
        <w:rPr>
          <w:rFonts w:cs="Georgia"/>
          <w:i/>
          <w:color w:val="000000"/>
          <w:szCs w:val="20"/>
        </w:rPr>
      </w:pPr>
    </w:p>
    <w:p w:rsidR="008B5E0E" w:rsidRDefault="003020C2" w:rsidP="006609DD">
      <w:pPr>
        <w:autoSpaceDE w:val="0"/>
        <w:autoSpaceDN w:val="0"/>
        <w:adjustRightInd w:val="0"/>
        <w:spacing w:line="240" w:lineRule="auto"/>
        <w:ind w:right="430"/>
        <w:rPr>
          <w:rFonts w:cs="Georgia"/>
          <w:i/>
          <w:color w:val="000000"/>
          <w:szCs w:val="20"/>
          <w:lang w:val="en-US"/>
        </w:rPr>
      </w:pPr>
      <w:r w:rsidRPr="003020C2">
        <w:rPr>
          <w:rFonts w:cs="Georgia"/>
          <w:i/>
          <w:noProof/>
          <w:color w:val="000000"/>
          <w:szCs w:val="20"/>
          <w:lang w:val="en-US"/>
        </w:rPr>
        <w:drawing>
          <wp:inline distT="0" distB="0" distL="0" distR="0" wp14:anchorId="43A43408" wp14:editId="0D6CFD43">
            <wp:extent cx="4086200" cy="2209006"/>
            <wp:effectExtent l="0" t="0" r="10160" b="203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B5E0E" w:rsidRPr="003020C2" w:rsidRDefault="003020C2" w:rsidP="006609DD">
      <w:pPr>
        <w:autoSpaceDE w:val="0"/>
        <w:autoSpaceDN w:val="0"/>
        <w:adjustRightInd w:val="0"/>
        <w:spacing w:line="240" w:lineRule="auto"/>
        <w:ind w:right="430"/>
        <w:rPr>
          <w:rFonts w:cs="Georgia"/>
          <w:color w:val="000000"/>
          <w:szCs w:val="20"/>
          <w:lang w:val="en-US"/>
        </w:rPr>
      </w:pPr>
      <w:r w:rsidRPr="003020C2">
        <w:rPr>
          <w:rFonts w:cs="Georgia"/>
          <w:color w:val="000000"/>
          <w:sz w:val="16"/>
          <w:szCs w:val="20"/>
        </w:rPr>
        <w:t>Source: PwC analysis</w:t>
      </w:r>
    </w:p>
    <w:p w:rsidR="0000623B" w:rsidRDefault="0000623B" w:rsidP="006609DD">
      <w:pPr>
        <w:autoSpaceDE w:val="0"/>
        <w:autoSpaceDN w:val="0"/>
        <w:adjustRightInd w:val="0"/>
        <w:spacing w:line="240" w:lineRule="auto"/>
        <w:ind w:right="430"/>
        <w:rPr>
          <w:rFonts w:cs="Georgia"/>
          <w:color w:val="000000"/>
          <w:szCs w:val="20"/>
          <w:lang w:val="en-US"/>
        </w:rPr>
      </w:pPr>
    </w:p>
    <w:p w:rsidR="0000623B" w:rsidRDefault="00B05ECB" w:rsidP="006609DD">
      <w:pPr>
        <w:autoSpaceDE w:val="0"/>
        <w:autoSpaceDN w:val="0"/>
        <w:adjustRightInd w:val="0"/>
        <w:spacing w:line="240" w:lineRule="auto"/>
        <w:ind w:right="430"/>
        <w:rPr>
          <w:rFonts w:cs="Georgia"/>
          <w:color w:val="000000"/>
          <w:szCs w:val="20"/>
          <w:lang w:val="en-US"/>
        </w:rPr>
      </w:pPr>
      <w:r>
        <w:rPr>
          <w:rFonts w:cs="Georgia"/>
          <w:color w:val="000000"/>
          <w:szCs w:val="20"/>
          <w:lang w:val="en-US"/>
        </w:rPr>
        <w:t>But d</w:t>
      </w:r>
      <w:r w:rsidR="0000623B">
        <w:rPr>
          <w:rFonts w:cs="Georgia"/>
          <w:color w:val="000000"/>
          <w:szCs w:val="20"/>
          <w:lang w:val="en-US"/>
        </w:rPr>
        <w:t>espite these short-term setbacks</w:t>
      </w:r>
      <w:r w:rsidR="000D1C21">
        <w:rPr>
          <w:rFonts w:cs="Georgia"/>
          <w:color w:val="000000"/>
          <w:szCs w:val="20"/>
          <w:lang w:val="en-US"/>
        </w:rPr>
        <w:t xml:space="preserve"> in global economic growth</w:t>
      </w:r>
      <w:r w:rsidR="0000623B">
        <w:rPr>
          <w:rFonts w:cs="Georgia"/>
          <w:color w:val="000000"/>
          <w:szCs w:val="20"/>
          <w:lang w:val="en-US"/>
        </w:rPr>
        <w:t xml:space="preserve">, global </w:t>
      </w:r>
      <w:r w:rsidR="008155FF">
        <w:rPr>
          <w:rFonts w:cs="Georgia"/>
          <w:color w:val="000000"/>
          <w:szCs w:val="20"/>
          <w:lang w:val="en-US"/>
        </w:rPr>
        <w:t xml:space="preserve">goods </w:t>
      </w:r>
      <w:r w:rsidR="0000623B">
        <w:rPr>
          <w:rFonts w:cs="Georgia"/>
          <w:color w:val="000000"/>
          <w:szCs w:val="20"/>
          <w:lang w:val="en-US"/>
        </w:rPr>
        <w:t>trade is proving to be a longer term success, increasing by a factor of five since 1980 – compared to ‘just’ a tripling of global GDP in the same period.</w:t>
      </w:r>
    </w:p>
    <w:p w:rsidR="005E2356" w:rsidRDefault="005E2356" w:rsidP="006609DD">
      <w:pPr>
        <w:autoSpaceDE w:val="0"/>
        <w:autoSpaceDN w:val="0"/>
        <w:adjustRightInd w:val="0"/>
        <w:spacing w:line="240" w:lineRule="auto"/>
        <w:ind w:right="430"/>
        <w:rPr>
          <w:rFonts w:cs="Georgia"/>
          <w:color w:val="000000"/>
          <w:szCs w:val="20"/>
          <w:lang w:val="en-US"/>
        </w:rPr>
      </w:pPr>
    </w:p>
    <w:p w:rsidR="001D1376" w:rsidRDefault="001D1376" w:rsidP="001D1376">
      <w:pPr>
        <w:autoSpaceDE w:val="0"/>
        <w:autoSpaceDN w:val="0"/>
        <w:adjustRightInd w:val="0"/>
        <w:spacing w:line="240" w:lineRule="auto"/>
        <w:ind w:right="430"/>
        <w:jc w:val="right"/>
        <w:rPr>
          <w:rFonts w:cs="Georgia"/>
          <w:color w:val="000000"/>
          <w:szCs w:val="20"/>
          <w:lang w:val="en-US"/>
        </w:rPr>
      </w:pPr>
      <w:r w:rsidRPr="00A21920">
        <w:rPr>
          <w:rFonts w:cs="Georgia"/>
          <w:i/>
          <w:color w:val="000000"/>
          <w:szCs w:val="20"/>
          <w:lang w:val="en-US"/>
        </w:rPr>
        <w:t>more…</w:t>
      </w:r>
    </w:p>
    <w:p w:rsidR="001D1376" w:rsidRDefault="001D1376" w:rsidP="006609DD">
      <w:pPr>
        <w:autoSpaceDE w:val="0"/>
        <w:autoSpaceDN w:val="0"/>
        <w:adjustRightInd w:val="0"/>
        <w:spacing w:line="240" w:lineRule="auto"/>
        <w:ind w:right="430"/>
        <w:rPr>
          <w:rFonts w:cs="Georgia"/>
          <w:color w:val="000000"/>
          <w:szCs w:val="20"/>
          <w:lang w:val="en-US"/>
        </w:rPr>
      </w:pPr>
    </w:p>
    <w:p w:rsidR="001D1376" w:rsidRDefault="001D1376" w:rsidP="006609DD">
      <w:pPr>
        <w:autoSpaceDE w:val="0"/>
        <w:autoSpaceDN w:val="0"/>
        <w:adjustRightInd w:val="0"/>
        <w:spacing w:line="240" w:lineRule="auto"/>
        <w:ind w:right="430"/>
        <w:rPr>
          <w:rFonts w:cs="Georgia"/>
          <w:color w:val="000000"/>
          <w:szCs w:val="20"/>
          <w:lang w:val="en-US"/>
        </w:rPr>
      </w:pPr>
    </w:p>
    <w:p w:rsidR="001D1376" w:rsidRDefault="001D1376" w:rsidP="006609DD">
      <w:pPr>
        <w:autoSpaceDE w:val="0"/>
        <w:autoSpaceDN w:val="0"/>
        <w:adjustRightInd w:val="0"/>
        <w:spacing w:line="240" w:lineRule="auto"/>
        <w:ind w:right="430"/>
        <w:rPr>
          <w:rFonts w:cs="Georgia"/>
          <w:color w:val="000000"/>
          <w:szCs w:val="20"/>
          <w:lang w:val="en-US"/>
        </w:rPr>
      </w:pPr>
    </w:p>
    <w:p w:rsidR="001D1376" w:rsidRDefault="001D1376" w:rsidP="006609DD">
      <w:pPr>
        <w:autoSpaceDE w:val="0"/>
        <w:autoSpaceDN w:val="0"/>
        <w:adjustRightInd w:val="0"/>
        <w:spacing w:line="240" w:lineRule="auto"/>
        <w:ind w:right="430"/>
        <w:rPr>
          <w:rFonts w:cs="Georgia"/>
          <w:color w:val="000000"/>
          <w:szCs w:val="20"/>
          <w:lang w:val="en-US"/>
        </w:rPr>
      </w:pPr>
    </w:p>
    <w:p w:rsidR="001D1376" w:rsidRDefault="001D1376" w:rsidP="006609DD">
      <w:pPr>
        <w:autoSpaceDE w:val="0"/>
        <w:autoSpaceDN w:val="0"/>
        <w:adjustRightInd w:val="0"/>
        <w:spacing w:line="240" w:lineRule="auto"/>
        <w:ind w:right="430"/>
        <w:rPr>
          <w:rFonts w:cs="Georgia"/>
          <w:color w:val="000000"/>
          <w:szCs w:val="20"/>
          <w:lang w:val="en-US"/>
        </w:rPr>
      </w:pPr>
    </w:p>
    <w:p w:rsidR="005E2356" w:rsidRDefault="005E2356" w:rsidP="006609DD">
      <w:pPr>
        <w:autoSpaceDE w:val="0"/>
        <w:autoSpaceDN w:val="0"/>
        <w:adjustRightInd w:val="0"/>
        <w:spacing w:line="240" w:lineRule="auto"/>
        <w:ind w:right="430"/>
        <w:rPr>
          <w:rFonts w:cs="Georgia"/>
          <w:color w:val="000000"/>
          <w:szCs w:val="20"/>
          <w:lang w:val="en-US"/>
        </w:rPr>
      </w:pPr>
      <w:r>
        <w:rPr>
          <w:rFonts w:cs="Georgia"/>
          <w:color w:val="000000"/>
          <w:szCs w:val="20"/>
          <w:lang w:val="en-US"/>
        </w:rPr>
        <w:t>Says PwC senior economist Richard Boxshall: “</w:t>
      </w:r>
      <w:r w:rsidR="000D1C21">
        <w:rPr>
          <w:rFonts w:cs="Georgia"/>
          <w:color w:val="000000"/>
          <w:szCs w:val="20"/>
          <w:lang w:val="en-US"/>
        </w:rPr>
        <w:t xml:space="preserve">One of the long-term successes of multilateralism </w:t>
      </w:r>
      <w:r w:rsidR="00A27B7D">
        <w:rPr>
          <w:rFonts w:cs="Georgia"/>
          <w:color w:val="000000"/>
          <w:szCs w:val="20"/>
          <w:lang w:val="en-US"/>
        </w:rPr>
        <w:t xml:space="preserve">has been the strengthening </w:t>
      </w:r>
      <w:r w:rsidR="000D1C21">
        <w:rPr>
          <w:rFonts w:cs="Georgia"/>
          <w:color w:val="000000"/>
          <w:szCs w:val="20"/>
          <w:lang w:val="en-US"/>
        </w:rPr>
        <w:t xml:space="preserve">of trade flows across the global economy.  </w:t>
      </w:r>
      <w:r>
        <w:rPr>
          <w:rFonts w:cs="Georgia"/>
          <w:color w:val="000000"/>
          <w:szCs w:val="20"/>
          <w:lang w:val="en-US"/>
        </w:rPr>
        <w:t>This trend has been good news for businesses, especially those with a global footprint. They have the ability to cushion a downturn in their home markets by switching their sales efforts to overseas markets.”</w:t>
      </w:r>
    </w:p>
    <w:p w:rsidR="005E2356" w:rsidRDefault="005E2356" w:rsidP="006609DD">
      <w:pPr>
        <w:autoSpaceDE w:val="0"/>
        <w:autoSpaceDN w:val="0"/>
        <w:adjustRightInd w:val="0"/>
        <w:spacing w:line="240" w:lineRule="auto"/>
        <w:ind w:right="430"/>
        <w:rPr>
          <w:rFonts w:cs="Georgia"/>
          <w:color w:val="000000"/>
          <w:szCs w:val="20"/>
          <w:lang w:val="en-US"/>
        </w:rPr>
      </w:pPr>
    </w:p>
    <w:p w:rsidR="003D6900" w:rsidRDefault="005E2356" w:rsidP="006609DD">
      <w:pPr>
        <w:autoSpaceDE w:val="0"/>
        <w:autoSpaceDN w:val="0"/>
        <w:adjustRightInd w:val="0"/>
        <w:spacing w:line="240" w:lineRule="auto"/>
        <w:ind w:right="430"/>
        <w:rPr>
          <w:rFonts w:cs="Georgia"/>
          <w:color w:val="000000"/>
          <w:szCs w:val="20"/>
          <w:lang w:val="en-US"/>
        </w:rPr>
      </w:pPr>
      <w:r>
        <w:rPr>
          <w:rFonts w:cs="Georgia"/>
          <w:color w:val="000000"/>
          <w:szCs w:val="20"/>
          <w:lang w:val="en-US"/>
        </w:rPr>
        <w:t>PwC economists estimate that the total v</w:t>
      </w:r>
      <w:r w:rsidR="008155FF">
        <w:rPr>
          <w:rFonts w:cs="Georgia"/>
          <w:color w:val="000000"/>
          <w:szCs w:val="20"/>
          <w:lang w:val="en-US"/>
        </w:rPr>
        <w:t>olume</w:t>
      </w:r>
      <w:r>
        <w:rPr>
          <w:rFonts w:cs="Georgia"/>
          <w:color w:val="000000"/>
          <w:szCs w:val="20"/>
          <w:lang w:val="en-US"/>
        </w:rPr>
        <w:t xml:space="preserve"> of global goods trade will continue to grow from around $10.3 trillion in 2013 to</w:t>
      </w:r>
      <w:r w:rsidR="008B5E0E">
        <w:rPr>
          <w:rFonts w:cs="Georgia"/>
          <w:color w:val="000000"/>
          <w:szCs w:val="20"/>
          <w:lang w:val="en-US"/>
        </w:rPr>
        <w:t xml:space="preserve"> around $18 trillion in 2030 (</w:t>
      </w:r>
      <w:r>
        <w:rPr>
          <w:rFonts w:cs="Georgia"/>
          <w:color w:val="000000"/>
          <w:szCs w:val="20"/>
          <w:lang w:val="en-US"/>
        </w:rPr>
        <w:t>in</w:t>
      </w:r>
      <w:r w:rsidR="008B5E0E">
        <w:rPr>
          <w:rFonts w:cs="Georgia"/>
          <w:color w:val="000000"/>
          <w:szCs w:val="20"/>
          <w:lang w:val="en-US"/>
        </w:rPr>
        <w:t xml:space="preserve"> </w:t>
      </w:r>
      <w:r>
        <w:rPr>
          <w:rFonts w:cs="Georgia"/>
          <w:color w:val="000000"/>
          <w:szCs w:val="20"/>
          <w:lang w:val="en-US"/>
        </w:rPr>
        <w:t xml:space="preserve">constant 2013 US dollars). And </w:t>
      </w:r>
      <w:r w:rsidR="001B287E">
        <w:rPr>
          <w:rFonts w:cs="Georgia"/>
          <w:color w:val="000000"/>
          <w:szCs w:val="20"/>
          <w:lang w:val="en-US"/>
        </w:rPr>
        <w:t xml:space="preserve">at $3.9 trillion, </w:t>
      </w:r>
      <w:r>
        <w:rPr>
          <w:rFonts w:cs="Georgia"/>
          <w:color w:val="000000"/>
          <w:szCs w:val="20"/>
          <w:lang w:val="en-US"/>
        </w:rPr>
        <w:t>trade between advanced and emerging markets</w:t>
      </w:r>
      <w:r w:rsidR="001B287E">
        <w:rPr>
          <w:rFonts w:cs="Georgia"/>
          <w:color w:val="000000"/>
          <w:szCs w:val="20"/>
          <w:lang w:val="en-US"/>
        </w:rPr>
        <w:t xml:space="preserve"> will account for almost half this increase.</w:t>
      </w:r>
      <w:r w:rsidR="00085BFC">
        <w:rPr>
          <w:rFonts w:cs="Georgia"/>
          <w:color w:val="000000"/>
          <w:szCs w:val="20"/>
          <w:lang w:val="en-US"/>
        </w:rPr>
        <w:t xml:space="preserve"> </w:t>
      </w:r>
      <w:r w:rsidR="003D6900">
        <w:rPr>
          <w:rFonts w:cs="Georgia"/>
          <w:color w:val="000000"/>
          <w:szCs w:val="20"/>
          <w:lang w:val="en-US"/>
        </w:rPr>
        <w:t>Adds Richard Boxshall: “</w:t>
      </w:r>
      <w:r w:rsidR="00A27B7D">
        <w:rPr>
          <w:rFonts w:cs="Georgia"/>
          <w:color w:val="000000"/>
          <w:szCs w:val="20"/>
          <w:lang w:val="en-US"/>
        </w:rPr>
        <w:t>Our projection</w:t>
      </w:r>
      <w:r w:rsidR="000D1C21">
        <w:rPr>
          <w:rFonts w:cs="Georgia"/>
          <w:color w:val="000000"/>
          <w:szCs w:val="20"/>
          <w:lang w:val="en-US"/>
        </w:rPr>
        <w:t xml:space="preserve"> of </w:t>
      </w:r>
      <w:r w:rsidR="003D6900">
        <w:rPr>
          <w:rFonts w:cs="Georgia"/>
          <w:color w:val="000000"/>
          <w:szCs w:val="20"/>
          <w:lang w:val="en-US"/>
        </w:rPr>
        <w:t xml:space="preserve">real trade growth of </w:t>
      </w:r>
      <w:r w:rsidR="000D1C21">
        <w:rPr>
          <w:rFonts w:cs="Georgia"/>
          <w:color w:val="000000"/>
          <w:szCs w:val="20"/>
          <w:lang w:val="en-US"/>
        </w:rPr>
        <w:t xml:space="preserve">around </w:t>
      </w:r>
      <w:r w:rsidR="003D6900">
        <w:rPr>
          <w:rFonts w:cs="Georgia"/>
          <w:color w:val="000000"/>
          <w:szCs w:val="20"/>
          <w:lang w:val="en-US"/>
        </w:rPr>
        <w:t>3.3% per annum</w:t>
      </w:r>
      <w:r w:rsidR="000D1C21">
        <w:rPr>
          <w:rFonts w:cs="Georgia"/>
          <w:color w:val="000000"/>
          <w:szCs w:val="20"/>
          <w:lang w:val="en-US"/>
        </w:rPr>
        <w:t xml:space="preserve"> suggest</w:t>
      </w:r>
      <w:r w:rsidR="00A27B7D">
        <w:rPr>
          <w:rFonts w:cs="Georgia"/>
          <w:color w:val="000000"/>
          <w:szCs w:val="20"/>
          <w:lang w:val="en-US"/>
        </w:rPr>
        <w:t>s</w:t>
      </w:r>
      <w:r w:rsidR="000D1C21">
        <w:rPr>
          <w:rFonts w:cs="Georgia"/>
          <w:color w:val="000000"/>
          <w:szCs w:val="20"/>
          <w:lang w:val="en-US"/>
        </w:rPr>
        <w:t xml:space="preserve"> that trade</w:t>
      </w:r>
      <w:r w:rsidR="003D6900">
        <w:rPr>
          <w:rFonts w:cs="Georgia"/>
          <w:color w:val="000000"/>
          <w:szCs w:val="20"/>
          <w:lang w:val="en-US"/>
        </w:rPr>
        <w:t xml:space="preserve"> will be an important driver of global growth over this period.”</w:t>
      </w:r>
    </w:p>
    <w:p w:rsidR="00B05ECB" w:rsidRDefault="00B05ECB" w:rsidP="00636FB0">
      <w:pPr>
        <w:autoSpaceDE w:val="0"/>
        <w:autoSpaceDN w:val="0"/>
        <w:adjustRightInd w:val="0"/>
        <w:spacing w:line="240" w:lineRule="auto"/>
        <w:ind w:right="430"/>
        <w:rPr>
          <w:rFonts w:cs="Georgia"/>
          <w:color w:val="000000"/>
          <w:szCs w:val="20"/>
          <w:lang w:val="en-US"/>
        </w:rPr>
      </w:pPr>
    </w:p>
    <w:p w:rsidR="00B05ECB" w:rsidRDefault="00B05ECB" w:rsidP="006609DD">
      <w:pPr>
        <w:autoSpaceDE w:val="0"/>
        <w:autoSpaceDN w:val="0"/>
        <w:adjustRightInd w:val="0"/>
        <w:spacing w:line="240" w:lineRule="auto"/>
        <w:ind w:right="430"/>
        <w:rPr>
          <w:rFonts w:cs="Georgia"/>
          <w:color w:val="000000"/>
          <w:szCs w:val="20"/>
          <w:lang w:val="en-US"/>
        </w:rPr>
      </w:pPr>
      <w:r>
        <w:rPr>
          <w:rFonts w:cs="Georgia"/>
          <w:color w:val="000000"/>
          <w:szCs w:val="20"/>
          <w:lang w:val="en-US"/>
        </w:rPr>
        <w:t>China is expected to grab a bigger slice of the world’s top trade routes by 2030, prompted by its consumers buying more overseas goods as</w:t>
      </w:r>
      <w:r w:rsidR="008B5E0E">
        <w:rPr>
          <w:rFonts w:cs="Georgia"/>
          <w:color w:val="000000"/>
          <w:szCs w:val="20"/>
          <w:lang w:val="en-US"/>
        </w:rPr>
        <w:t xml:space="preserve"> they become wealthier, and the</w:t>
      </w:r>
      <w:r>
        <w:rPr>
          <w:rFonts w:cs="Georgia"/>
          <w:color w:val="000000"/>
          <w:szCs w:val="20"/>
          <w:lang w:val="en-US"/>
        </w:rPr>
        <w:t xml:space="preserve"> country remaining a key player in manufacturing – albeit probably </w:t>
      </w:r>
      <w:r w:rsidR="00636FB0">
        <w:rPr>
          <w:rFonts w:cs="Georgia"/>
          <w:color w:val="000000"/>
          <w:szCs w:val="20"/>
          <w:lang w:val="en-US"/>
        </w:rPr>
        <w:t>moving to higher</w:t>
      </w:r>
      <w:r w:rsidR="00270493">
        <w:rPr>
          <w:rFonts w:cs="Georgia"/>
          <w:color w:val="000000"/>
          <w:szCs w:val="20"/>
          <w:lang w:val="en-US"/>
        </w:rPr>
        <w:t xml:space="preserve"> </w:t>
      </w:r>
      <w:r>
        <w:rPr>
          <w:rFonts w:cs="Georgia"/>
          <w:color w:val="000000"/>
          <w:szCs w:val="20"/>
          <w:lang w:val="en-US"/>
        </w:rPr>
        <w:t>valued exports.</w:t>
      </w:r>
      <w:r w:rsidR="00636FB0" w:rsidRPr="00636FB0">
        <w:rPr>
          <w:rFonts w:cs="Georgia"/>
          <w:i/>
          <w:color w:val="000000"/>
          <w:szCs w:val="20"/>
          <w:lang w:val="en-US"/>
        </w:rPr>
        <w:t xml:space="preserve"> </w:t>
      </w:r>
      <w:r w:rsidR="00636FB0" w:rsidRPr="008B5E0E">
        <w:rPr>
          <w:rFonts w:cs="Georgia"/>
          <w:i/>
          <w:color w:val="000000"/>
          <w:szCs w:val="20"/>
          <w:lang w:val="en-US"/>
        </w:rPr>
        <w:t xml:space="preserve">(see </w:t>
      </w:r>
      <w:r w:rsidR="003020C2">
        <w:rPr>
          <w:rFonts w:cs="Georgia"/>
          <w:i/>
          <w:color w:val="000000"/>
          <w:szCs w:val="20"/>
          <w:lang w:val="en-US"/>
        </w:rPr>
        <w:t>Table</w:t>
      </w:r>
      <w:r w:rsidR="00636FB0" w:rsidRPr="008B5E0E">
        <w:rPr>
          <w:rFonts w:cs="Georgia"/>
          <w:i/>
          <w:color w:val="000000"/>
          <w:szCs w:val="20"/>
          <w:lang w:val="en-US"/>
        </w:rPr>
        <w:t xml:space="preserve"> </w:t>
      </w:r>
      <w:r w:rsidR="003020C2">
        <w:rPr>
          <w:rFonts w:cs="Georgia"/>
          <w:i/>
          <w:color w:val="000000"/>
          <w:szCs w:val="20"/>
          <w:lang w:val="en-US"/>
        </w:rPr>
        <w:t>1</w:t>
      </w:r>
      <w:r w:rsidR="00636FB0" w:rsidRPr="008B5E0E">
        <w:rPr>
          <w:rFonts w:cs="Georgia"/>
          <w:i/>
          <w:color w:val="000000"/>
          <w:szCs w:val="20"/>
          <w:lang w:val="en-US"/>
        </w:rPr>
        <w:t xml:space="preserve"> below)</w:t>
      </w:r>
    </w:p>
    <w:p w:rsidR="008B5E0E" w:rsidRDefault="008B5E0E" w:rsidP="006609DD">
      <w:pPr>
        <w:autoSpaceDE w:val="0"/>
        <w:autoSpaceDN w:val="0"/>
        <w:adjustRightInd w:val="0"/>
        <w:spacing w:line="240" w:lineRule="auto"/>
        <w:ind w:right="430"/>
        <w:rPr>
          <w:rFonts w:cs="Georgia"/>
          <w:color w:val="000000"/>
          <w:szCs w:val="20"/>
          <w:lang w:val="en-US"/>
        </w:rPr>
      </w:pPr>
    </w:p>
    <w:p w:rsidR="00636FB0" w:rsidRPr="003D6900" w:rsidRDefault="00636FB0" w:rsidP="006609DD">
      <w:pPr>
        <w:autoSpaceDE w:val="0"/>
        <w:autoSpaceDN w:val="0"/>
        <w:adjustRightInd w:val="0"/>
        <w:spacing w:line="240" w:lineRule="auto"/>
        <w:ind w:right="430"/>
        <w:rPr>
          <w:rFonts w:cs="Georgia"/>
          <w:i/>
          <w:color w:val="000000"/>
          <w:szCs w:val="20"/>
          <w:lang w:val="en-US"/>
        </w:rPr>
      </w:pPr>
    </w:p>
    <w:tbl>
      <w:tblPr>
        <w:tblW w:w="5241" w:type="dxa"/>
        <w:tblCellMar>
          <w:left w:w="0" w:type="dxa"/>
          <w:right w:w="0" w:type="dxa"/>
        </w:tblCellMar>
        <w:tblLook w:val="0420" w:firstRow="1" w:lastRow="0" w:firstColumn="0" w:lastColumn="0" w:noHBand="0" w:noVBand="1"/>
      </w:tblPr>
      <w:tblGrid>
        <w:gridCol w:w="41"/>
        <w:gridCol w:w="740"/>
        <w:gridCol w:w="1740"/>
        <w:gridCol w:w="1580"/>
        <w:gridCol w:w="1099"/>
        <w:gridCol w:w="41"/>
      </w:tblGrid>
      <w:tr w:rsidR="003020C2" w:rsidRPr="003020C2" w:rsidTr="003020C2">
        <w:trPr>
          <w:gridAfter w:val="1"/>
          <w:wAfter w:w="41" w:type="dxa"/>
          <w:trHeight w:val="282"/>
        </w:trPr>
        <w:tc>
          <w:tcPr>
            <w:tcW w:w="5200" w:type="dxa"/>
            <w:gridSpan w:val="5"/>
            <w:tcBorders>
              <w:top w:val="single" w:sz="8" w:space="0" w:color="A32020"/>
              <w:left w:val="nil"/>
              <w:bottom w:val="dotted" w:sz="8" w:space="0" w:color="A32020"/>
              <w:right w:val="nil"/>
            </w:tcBorders>
            <w:shd w:val="clear" w:color="auto" w:fill="auto"/>
            <w:tcMar>
              <w:top w:w="57" w:type="dxa"/>
              <w:left w:w="113" w:type="dxa"/>
              <w:bottom w:w="57" w:type="dxa"/>
              <w:right w:w="113" w:type="dxa"/>
            </w:tcMar>
            <w:hideMark/>
          </w:tcPr>
          <w:p w:rsidR="00BD626D" w:rsidRPr="003020C2" w:rsidRDefault="003020C2" w:rsidP="003020C2">
            <w:pPr>
              <w:autoSpaceDE w:val="0"/>
              <w:autoSpaceDN w:val="0"/>
              <w:adjustRightInd w:val="0"/>
              <w:spacing w:line="240" w:lineRule="auto"/>
              <w:ind w:right="430"/>
              <w:rPr>
                <w:rFonts w:cs="Georgia"/>
                <w:color w:val="000000"/>
                <w:szCs w:val="20"/>
              </w:rPr>
            </w:pPr>
            <w:r w:rsidRPr="003020C2">
              <w:rPr>
                <w:rFonts w:cs="Georgia"/>
                <w:b/>
                <w:bCs/>
                <w:color w:val="000000"/>
                <w:sz w:val="16"/>
                <w:szCs w:val="20"/>
                <w:lang w:val="en-IN"/>
              </w:rPr>
              <w:t xml:space="preserve">Table </w:t>
            </w:r>
            <w:r w:rsidR="00431D62">
              <w:rPr>
                <w:rFonts w:cs="Georgia"/>
                <w:b/>
                <w:bCs/>
                <w:color w:val="000000"/>
                <w:sz w:val="16"/>
                <w:szCs w:val="20"/>
                <w:lang w:val="en-IN"/>
              </w:rPr>
              <w:t>1</w:t>
            </w:r>
            <w:r w:rsidRPr="003020C2">
              <w:rPr>
                <w:rFonts w:cs="Georgia"/>
                <w:b/>
                <w:bCs/>
                <w:color w:val="000000"/>
                <w:sz w:val="16"/>
                <w:szCs w:val="20"/>
                <w:lang w:val="en-IN"/>
              </w:rPr>
              <w:t>:  Top 20 bilateral goods trade routes in 2030</w:t>
            </w:r>
          </w:p>
        </w:tc>
      </w:tr>
      <w:tr w:rsidR="003020C2" w:rsidRPr="003020C2" w:rsidTr="003020C2">
        <w:trPr>
          <w:gridBefore w:val="1"/>
          <w:wBefore w:w="41" w:type="dxa"/>
          <w:trHeight w:val="678"/>
        </w:trPr>
        <w:tc>
          <w:tcPr>
            <w:tcW w:w="740" w:type="dxa"/>
            <w:tcBorders>
              <w:top w:val="nil"/>
              <w:left w:val="nil"/>
              <w:bottom w:val="single" w:sz="8" w:space="0" w:color="A32020"/>
              <w:right w:val="nil"/>
            </w:tcBorders>
            <w:shd w:val="clear" w:color="auto" w:fill="auto"/>
            <w:tcMar>
              <w:top w:w="58" w:type="dxa"/>
              <w:left w:w="72" w:type="dxa"/>
              <w:bottom w:w="58" w:type="dxa"/>
              <w:right w:w="72" w:type="dxa"/>
            </w:tcMar>
            <w:hideMark/>
          </w:tcPr>
          <w:p w:rsidR="003020C2" w:rsidRPr="003020C2" w:rsidRDefault="003020C2" w:rsidP="003020C2">
            <w:pPr>
              <w:spacing w:line="240" w:lineRule="auto"/>
              <w:textAlignment w:val="bottom"/>
              <w:rPr>
                <w:rFonts w:ascii="Arial" w:eastAsia="Times New Roman" w:hAnsi="Arial" w:cs="Arial"/>
                <w:sz w:val="36"/>
                <w:szCs w:val="36"/>
                <w:lang w:eastAsia="en-GB"/>
              </w:rPr>
            </w:pPr>
            <w:r w:rsidRPr="003020C2">
              <w:rPr>
                <w:rFonts w:ascii="Arial" w:eastAsia="Times New Roman" w:hAnsi="Arial" w:cs="Arial"/>
                <w:b/>
                <w:bCs/>
                <w:color w:val="000000"/>
                <w:kern w:val="24"/>
                <w:sz w:val="14"/>
                <w:szCs w:val="14"/>
                <w:lang w:eastAsia="en-GB"/>
              </w:rPr>
              <w:t>Ranking</w:t>
            </w:r>
          </w:p>
        </w:tc>
        <w:tc>
          <w:tcPr>
            <w:tcW w:w="3320" w:type="dxa"/>
            <w:gridSpan w:val="2"/>
            <w:tcBorders>
              <w:top w:val="nil"/>
              <w:left w:val="nil"/>
              <w:bottom w:val="single" w:sz="8" w:space="0" w:color="A32020"/>
              <w:right w:val="nil"/>
            </w:tcBorders>
            <w:shd w:val="clear" w:color="auto" w:fill="auto"/>
            <w:tcMar>
              <w:top w:w="58" w:type="dxa"/>
              <w:left w:w="72" w:type="dxa"/>
              <w:bottom w:w="58" w:type="dxa"/>
              <w:right w:w="72" w:type="dxa"/>
            </w:tcMar>
            <w:hideMark/>
          </w:tcPr>
          <w:p w:rsidR="003020C2" w:rsidRPr="003020C2" w:rsidRDefault="003020C2" w:rsidP="003020C2">
            <w:pPr>
              <w:spacing w:line="240" w:lineRule="auto"/>
              <w:jc w:val="center"/>
              <w:rPr>
                <w:rFonts w:ascii="Arial" w:eastAsia="Times New Roman" w:hAnsi="Arial" w:cs="Arial"/>
                <w:sz w:val="36"/>
                <w:szCs w:val="36"/>
                <w:lang w:eastAsia="en-GB"/>
              </w:rPr>
            </w:pPr>
            <w:r w:rsidRPr="003020C2">
              <w:rPr>
                <w:rFonts w:ascii="Arial" w:eastAsia="Times New Roman" w:hAnsi="Arial" w:cs="Arial"/>
                <w:b/>
                <w:bCs/>
                <w:color w:val="000000"/>
                <w:kern w:val="24"/>
                <w:sz w:val="14"/>
                <w:szCs w:val="14"/>
                <w:lang w:eastAsia="en-GB"/>
              </w:rPr>
              <w:t>Bilateral trade pair</w:t>
            </w:r>
          </w:p>
        </w:tc>
        <w:tc>
          <w:tcPr>
            <w:tcW w:w="1140" w:type="dxa"/>
            <w:gridSpan w:val="2"/>
            <w:tcBorders>
              <w:top w:val="nil"/>
              <w:left w:val="nil"/>
              <w:bottom w:val="single" w:sz="8" w:space="0" w:color="A32020"/>
              <w:right w:val="nil"/>
            </w:tcBorders>
            <w:shd w:val="clear" w:color="auto" w:fill="auto"/>
            <w:tcMar>
              <w:top w:w="58" w:type="dxa"/>
              <w:left w:w="72" w:type="dxa"/>
              <w:bottom w:w="58" w:type="dxa"/>
              <w:right w:w="72" w:type="dxa"/>
            </w:tcMar>
            <w:hideMark/>
          </w:tcPr>
          <w:p w:rsidR="003020C2" w:rsidRPr="003020C2" w:rsidRDefault="003020C2" w:rsidP="003020C2">
            <w:pPr>
              <w:spacing w:line="240" w:lineRule="auto"/>
              <w:jc w:val="center"/>
              <w:textAlignment w:val="bottom"/>
              <w:rPr>
                <w:rFonts w:ascii="Arial" w:eastAsia="Times New Roman" w:hAnsi="Arial" w:cs="Arial"/>
                <w:sz w:val="36"/>
                <w:szCs w:val="36"/>
                <w:lang w:eastAsia="en-GB"/>
              </w:rPr>
            </w:pPr>
            <w:r w:rsidRPr="003020C2">
              <w:rPr>
                <w:rFonts w:ascii="Arial" w:eastAsia="Times New Roman" w:hAnsi="Arial" w:cs="Arial"/>
                <w:b/>
                <w:bCs/>
                <w:color w:val="000000"/>
                <w:kern w:val="24"/>
                <w:sz w:val="14"/>
                <w:szCs w:val="14"/>
                <w:lang w:eastAsia="en-GB"/>
              </w:rPr>
              <w:t>Projected trade value (2013 US$ bn)</w:t>
            </w:r>
          </w:p>
        </w:tc>
      </w:tr>
      <w:tr w:rsidR="003020C2" w:rsidRPr="003020C2" w:rsidTr="003020C2">
        <w:trPr>
          <w:gridBefore w:val="1"/>
          <w:wBefore w:w="41" w:type="dxa"/>
          <w:trHeight w:val="224"/>
        </w:trPr>
        <w:tc>
          <w:tcPr>
            <w:tcW w:w="740" w:type="dxa"/>
            <w:tcBorders>
              <w:top w:val="single"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28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1 </w:t>
            </w:r>
            <w:r w:rsidRPr="003020C2">
              <w:rPr>
                <w:rFonts w:ascii="ZDingbats" w:eastAsia="Times New Roman" w:hAnsi="ZDingbats" w:cs="Arial"/>
                <w:color w:val="602320"/>
                <w:kern w:val="24"/>
                <w:sz w:val="14"/>
                <w:szCs w:val="14"/>
                <w:lang w:eastAsia="en-GB"/>
              </w:rPr>
              <w:t>u</w:t>
            </w:r>
          </w:p>
        </w:tc>
        <w:tc>
          <w:tcPr>
            <w:tcW w:w="1740" w:type="dxa"/>
            <w:tcBorders>
              <w:top w:val="single"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China </w:t>
            </w:r>
          </w:p>
        </w:tc>
        <w:tc>
          <w:tcPr>
            <w:tcW w:w="1580" w:type="dxa"/>
            <w:tcBorders>
              <w:top w:val="single"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US </w:t>
            </w:r>
          </w:p>
        </w:tc>
        <w:tc>
          <w:tcPr>
            <w:tcW w:w="1140" w:type="dxa"/>
            <w:gridSpan w:val="2"/>
            <w:tcBorders>
              <w:top w:val="single"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jc w:val="center"/>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716</w:t>
            </w:r>
          </w:p>
        </w:tc>
      </w:tr>
      <w:tr w:rsidR="003020C2" w:rsidRPr="003020C2" w:rsidTr="003020C2">
        <w:trPr>
          <w:gridBefore w:val="1"/>
          <w:wBefore w:w="41" w:type="dxa"/>
          <w:trHeight w:val="224"/>
        </w:trPr>
        <w:tc>
          <w:tcPr>
            <w:tcW w:w="74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28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2 </w:t>
            </w:r>
            <w:r w:rsidRPr="003020C2">
              <w:rPr>
                <w:rFonts w:ascii="ZDingbats" w:eastAsia="Times New Roman" w:hAnsi="ZDingbats" w:cs="Arial"/>
                <w:color w:val="602320"/>
                <w:kern w:val="24"/>
                <w:sz w:val="14"/>
                <w:szCs w:val="14"/>
                <w:lang w:eastAsia="en-GB"/>
              </w:rPr>
              <w:t>u</w:t>
            </w:r>
          </w:p>
        </w:tc>
        <w:tc>
          <w:tcPr>
            <w:tcW w:w="174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China </w:t>
            </w:r>
          </w:p>
        </w:tc>
        <w:tc>
          <w:tcPr>
            <w:tcW w:w="158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Japan </w:t>
            </w:r>
          </w:p>
        </w:tc>
        <w:tc>
          <w:tcPr>
            <w:tcW w:w="1140" w:type="dxa"/>
            <w:gridSpan w:val="2"/>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jc w:val="center"/>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390</w:t>
            </w:r>
          </w:p>
        </w:tc>
      </w:tr>
      <w:tr w:rsidR="003020C2" w:rsidRPr="003020C2" w:rsidTr="003020C2">
        <w:trPr>
          <w:gridBefore w:val="1"/>
          <w:wBefore w:w="41" w:type="dxa"/>
          <w:trHeight w:val="224"/>
        </w:trPr>
        <w:tc>
          <w:tcPr>
            <w:tcW w:w="74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28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3 </w:t>
            </w:r>
            <w:r w:rsidRPr="003020C2">
              <w:rPr>
                <w:rFonts w:ascii="ZDingbats" w:eastAsia="Times New Roman" w:hAnsi="ZDingbats" w:cs="Arial"/>
                <w:color w:val="602320"/>
                <w:kern w:val="24"/>
                <w:sz w:val="14"/>
                <w:szCs w:val="14"/>
                <w:lang w:eastAsia="en-GB"/>
              </w:rPr>
              <w:t>u</w:t>
            </w:r>
          </w:p>
        </w:tc>
        <w:tc>
          <w:tcPr>
            <w:tcW w:w="174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China </w:t>
            </w:r>
          </w:p>
        </w:tc>
        <w:tc>
          <w:tcPr>
            <w:tcW w:w="158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South Korea </w:t>
            </w:r>
          </w:p>
        </w:tc>
        <w:tc>
          <w:tcPr>
            <w:tcW w:w="1140" w:type="dxa"/>
            <w:gridSpan w:val="2"/>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jc w:val="center"/>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366</w:t>
            </w:r>
          </w:p>
        </w:tc>
      </w:tr>
      <w:tr w:rsidR="003020C2" w:rsidRPr="003020C2" w:rsidTr="003020C2">
        <w:trPr>
          <w:gridBefore w:val="1"/>
          <w:wBefore w:w="41" w:type="dxa"/>
          <w:trHeight w:val="224"/>
        </w:trPr>
        <w:tc>
          <w:tcPr>
            <w:tcW w:w="74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28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4 </w:t>
            </w:r>
            <w:r w:rsidRPr="003020C2">
              <w:rPr>
                <w:rFonts w:ascii="ZDingbats" w:eastAsia="Times New Roman" w:hAnsi="ZDingbats" w:cs="Arial"/>
                <w:color w:val="602320"/>
                <w:kern w:val="24"/>
                <w:sz w:val="14"/>
                <w:szCs w:val="14"/>
                <w:lang w:eastAsia="en-GB"/>
              </w:rPr>
              <w:t>u</w:t>
            </w:r>
          </w:p>
        </w:tc>
        <w:tc>
          <w:tcPr>
            <w:tcW w:w="174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Germany </w:t>
            </w:r>
          </w:p>
        </w:tc>
        <w:tc>
          <w:tcPr>
            <w:tcW w:w="158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France </w:t>
            </w:r>
          </w:p>
        </w:tc>
        <w:tc>
          <w:tcPr>
            <w:tcW w:w="1140" w:type="dxa"/>
            <w:gridSpan w:val="2"/>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jc w:val="center"/>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277</w:t>
            </w:r>
          </w:p>
        </w:tc>
      </w:tr>
      <w:tr w:rsidR="003020C2" w:rsidRPr="003020C2" w:rsidTr="003020C2">
        <w:trPr>
          <w:gridBefore w:val="1"/>
          <w:wBefore w:w="41" w:type="dxa"/>
          <w:trHeight w:val="224"/>
        </w:trPr>
        <w:tc>
          <w:tcPr>
            <w:tcW w:w="74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28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5 </w:t>
            </w:r>
            <w:r w:rsidRPr="003020C2">
              <w:rPr>
                <w:rFonts w:ascii="ZDingbats" w:eastAsia="Times New Roman" w:hAnsi="ZDingbats" w:cs="Arial"/>
                <w:color w:val="602320"/>
                <w:kern w:val="24"/>
                <w:sz w:val="14"/>
                <w:szCs w:val="14"/>
                <w:lang w:eastAsia="en-GB"/>
              </w:rPr>
              <w:t>u</w:t>
            </w:r>
          </w:p>
        </w:tc>
        <w:tc>
          <w:tcPr>
            <w:tcW w:w="174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Japan </w:t>
            </w:r>
          </w:p>
        </w:tc>
        <w:tc>
          <w:tcPr>
            <w:tcW w:w="158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US </w:t>
            </w:r>
          </w:p>
        </w:tc>
        <w:tc>
          <w:tcPr>
            <w:tcW w:w="1140" w:type="dxa"/>
            <w:gridSpan w:val="2"/>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jc w:val="center"/>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244</w:t>
            </w:r>
          </w:p>
        </w:tc>
      </w:tr>
      <w:tr w:rsidR="003020C2" w:rsidRPr="003020C2" w:rsidTr="003020C2">
        <w:trPr>
          <w:gridBefore w:val="1"/>
          <w:wBefore w:w="41" w:type="dxa"/>
          <w:trHeight w:val="224"/>
        </w:trPr>
        <w:tc>
          <w:tcPr>
            <w:tcW w:w="74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28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6 </w:t>
            </w:r>
            <w:r w:rsidRPr="003020C2">
              <w:rPr>
                <w:rFonts w:ascii="ZDingbats" w:eastAsia="Times New Roman" w:hAnsi="ZDingbats" w:cs="Arial"/>
                <w:color w:val="00B050"/>
                <w:kern w:val="24"/>
                <w:sz w:val="14"/>
                <w:szCs w:val="14"/>
                <w:lang w:eastAsia="en-GB"/>
              </w:rPr>
              <w:t>s</w:t>
            </w:r>
          </w:p>
        </w:tc>
        <w:tc>
          <w:tcPr>
            <w:tcW w:w="174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China </w:t>
            </w:r>
          </w:p>
        </w:tc>
        <w:tc>
          <w:tcPr>
            <w:tcW w:w="158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Germany </w:t>
            </w:r>
          </w:p>
        </w:tc>
        <w:tc>
          <w:tcPr>
            <w:tcW w:w="1140" w:type="dxa"/>
            <w:gridSpan w:val="2"/>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jc w:val="center"/>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240</w:t>
            </w:r>
          </w:p>
        </w:tc>
      </w:tr>
      <w:tr w:rsidR="003020C2" w:rsidRPr="003020C2" w:rsidTr="003020C2">
        <w:trPr>
          <w:gridBefore w:val="1"/>
          <w:wBefore w:w="41" w:type="dxa"/>
          <w:trHeight w:val="224"/>
        </w:trPr>
        <w:tc>
          <w:tcPr>
            <w:tcW w:w="74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28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7 </w:t>
            </w:r>
            <w:r w:rsidRPr="003020C2">
              <w:rPr>
                <w:rFonts w:ascii="ZDingbats" w:eastAsia="Times New Roman" w:hAnsi="ZDingbats" w:cs="Arial"/>
                <w:color w:val="FFC000"/>
                <w:kern w:val="24"/>
                <w:sz w:val="14"/>
                <w:szCs w:val="14"/>
                <w:lang w:eastAsia="en-GB"/>
              </w:rPr>
              <w:t>g</w:t>
            </w:r>
          </w:p>
        </w:tc>
        <w:tc>
          <w:tcPr>
            <w:tcW w:w="174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China </w:t>
            </w:r>
          </w:p>
        </w:tc>
        <w:tc>
          <w:tcPr>
            <w:tcW w:w="158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India </w:t>
            </w:r>
          </w:p>
        </w:tc>
        <w:tc>
          <w:tcPr>
            <w:tcW w:w="1140" w:type="dxa"/>
            <w:gridSpan w:val="2"/>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jc w:val="center"/>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214</w:t>
            </w:r>
          </w:p>
        </w:tc>
      </w:tr>
      <w:tr w:rsidR="003020C2" w:rsidRPr="003020C2" w:rsidTr="003020C2">
        <w:trPr>
          <w:gridBefore w:val="1"/>
          <w:wBefore w:w="41" w:type="dxa"/>
          <w:trHeight w:val="224"/>
        </w:trPr>
        <w:tc>
          <w:tcPr>
            <w:tcW w:w="74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28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8 </w:t>
            </w:r>
            <w:r w:rsidRPr="003020C2">
              <w:rPr>
                <w:rFonts w:ascii="ZDingbats" w:eastAsia="Times New Roman" w:hAnsi="ZDingbats" w:cs="Arial"/>
                <w:color w:val="FF0000"/>
                <w:kern w:val="24"/>
                <w:sz w:val="14"/>
                <w:szCs w:val="14"/>
                <w:lang w:eastAsia="en-GB"/>
              </w:rPr>
              <w:t>t</w:t>
            </w:r>
          </w:p>
        </w:tc>
        <w:tc>
          <w:tcPr>
            <w:tcW w:w="174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Germany </w:t>
            </w:r>
          </w:p>
        </w:tc>
        <w:tc>
          <w:tcPr>
            <w:tcW w:w="158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US </w:t>
            </w:r>
          </w:p>
        </w:tc>
        <w:tc>
          <w:tcPr>
            <w:tcW w:w="1140" w:type="dxa"/>
            <w:gridSpan w:val="2"/>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jc w:val="center"/>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209</w:t>
            </w:r>
          </w:p>
        </w:tc>
      </w:tr>
      <w:tr w:rsidR="003020C2" w:rsidRPr="003020C2" w:rsidTr="003020C2">
        <w:trPr>
          <w:gridBefore w:val="1"/>
          <w:wBefore w:w="41" w:type="dxa"/>
          <w:trHeight w:val="224"/>
        </w:trPr>
        <w:tc>
          <w:tcPr>
            <w:tcW w:w="74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28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9 </w:t>
            </w:r>
            <w:r w:rsidRPr="003020C2">
              <w:rPr>
                <w:rFonts w:ascii="ZDingbats" w:eastAsia="Times New Roman" w:hAnsi="ZDingbats" w:cs="Arial"/>
                <w:color w:val="00B050"/>
                <w:kern w:val="24"/>
                <w:sz w:val="14"/>
                <w:szCs w:val="14"/>
                <w:lang w:eastAsia="en-GB"/>
              </w:rPr>
              <w:t>s</w:t>
            </w:r>
          </w:p>
        </w:tc>
        <w:tc>
          <w:tcPr>
            <w:tcW w:w="174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China </w:t>
            </w:r>
          </w:p>
        </w:tc>
        <w:tc>
          <w:tcPr>
            <w:tcW w:w="158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Singapore </w:t>
            </w:r>
          </w:p>
        </w:tc>
        <w:tc>
          <w:tcPr>
            <w:tcW w:w="1140" w:type="dxa"/>
            <w:gridSpan w:val="2"/>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jc w:val="center"/>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208</w:t>
            </w:r>
          </w:p>
        </w:tc>
      </w:tr>
      <w:tr w:rsidR="003020C2" w:rsidRPr="003020C2" w:rsidTr="003020C2">
        <w:trPr>
          <w:gridBefore w:val="1"/>
          <w:wBefore w:w="41" w:type="dxa"/>
          <w:trHeight w:val="224"/>
        </w:trPr>
        <w:tc>
          <w:tcPr>
            <w:tcW w:w="74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230"/>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10 </w:t>
            </w:r>
            <w:r w:rsidRPr="003020C2">
              <w:rPr>
                <w:rFonts w:ascii="ZDingbats" w:eastAsia="Times New Roman" w:hAnsi="ZDingbats" w:cs="Arial"/>
                <w:color w:val="602320"/>
                <w:kern w:val="24"/>
                <w:sz w:val="14"/>
                <w:szCs w:val="14"/>
                <w:lang w:eastAsia="en-GB"/>
              </w:rPr>
              <w:t>u</w:t>
            </w:r>
          </w:p>
        </w:tc>
        <w:tc>
          <w:tcPr>
            <w:tcW w:w="174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China </w:t>
            </w:r>
          </w:p>
        </w:tc>
        <w:tc>
          <w:tcPr>
            <w:tcW w:w="158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Australia </w:t>
            </w:r>
          </w:p>
        </w:tc>
        <w:tc>
          <w:tcPr>
            <w:tcW w:w="1140" w:type="dxa"/>
            <w:gridSpan w:val="2"/>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jc w:val="center"/>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205</w:t>
            </w:r>
          </w:p>
        </w:tc>
      </w:tr>
      <w:tr w:rsidR="003020C2" w:rsidRPr="003020C2" w:rsidTr="003020C2">
        <w:trPr>
          <w:gridBefore w:val="1"/>
          <w:wBefore w:w="41" w:type="dxa"/>
          <w:trHeight w:val="224"/>
        </w:trPr>
        <w:tc>
          <w:tcPr>
            <w:tcW w:w="74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230"/>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11 </w:t>
            </w:r>
            <w:r w:rsidRPr="003020C2">
              <w:rPr>
                <w:rFonts w:ascii="ZDingbats" w:eastAsia="Times New Roman" w:hAnsi="ZDingbats" w:cs="Arial"/>
                <w:color w:val="00B050"/>
                <w:kern w:val="24"/>
                <w:sz w:val="14"/>
                <w:szCs w:val="14"/>
                <w:lang w:eastAsia="en-GB"/>
              </w:rPr>
              <w:t>s</w:t>
            </w:r>
          </w:p>
        </w:tc>
        <w:tc>
          <w:tcPr>
            <w:tcW w:w="174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China </w:t>
            </w:r>
          </w:p>
        </w:tc>
        <w:tc>
          <w:tcPr>
            <w:tcW w:w="158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Malaysia </w:t>
            </w:r>
          </w:p>
        </w:tc>
        <w:tc>
          <w:tcPr>
            <w:tcW w:w="1140" w:type="dxa"/>
            <w:gridSpan w:val="2"/>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jc w:val="center"/>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189</w:t>
            </w:r>
          </w:p>
        </w:tc>
      </w:tr>
      <w:tr w:rsidR="003020C2" w:rsidRPr="003020C2" w:rsidTr="003020C2">
        <w:trPr>
          <w:gridBefore w:val="1"/>
          <w:wBefore w:w="41" w:type="dxa"/>
          <w:trHeight w:val="224"/>
        </w:trPr>
        <w:tc>
          <w:tcPr>
            <w:tcW w:w="74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230"/>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12 </w:t>
            </w:r>
            <w:r w:rsidRPr="003020C2">
              <w:rPr>
                <w:rFonts w:ascii="ZDingbats" w:eastAsia="Times New Roman" w:hAnsi="ZDingbats" w:cs="Arial"/>
                <w:color w:val="FFC000"/>
                <w:kern w:val="24"/>
                <w:sz w:val="14"/>
                <w:szCs w:val="14"/>
                <w:lang w:eastAsia="en-GB"/>
              </w:rPr>
              <w:t>g</w:t>
            </w:r>
          </w:p>
        </w:tc>
        <w:tc>
          <w:tcPr>
            <w:tcW w:w="174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China </w:t>
            </w:r>
          </w:p>
        </w:tc>
        <w:tc>
          <w:tcPr>
            <w:tcW w:w="158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Indonesia </w:t>
            </w:r>
          </w:p>
        </w:tc>
        <w:tc>
          <w:tcPr>
            <w:tcW w:w="1140" w:type="dxa"/>
            <w:gridSpan w:val="2"/>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jc w:val="center"/>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179</w:t>
            </w:r>
          </w:p>
        </w:tc>
      </w:tr>
      <w:tr w:rsidR="003020C2" w:rsidRPr="003020C2" w:rsidTr="003020C2">
        <w:trPr>
          <w:gridBefore w:val="1"/>
          <w:wBefore w:w="41" w:type="dxa"/>
          <w:trHeight w:val="224"/>
        </w:trPr>
        <w:tc>
          <w:tcPr>
            <w:tcW w:w="74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230"/>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13 </w:t>
            </w:r>
            <w:r w:rsidRPr="003020C2">
              <w:rPr>
                <w:rFonts w:ascii="ZDingbats" w:eastAsia="Times New Roman" w:hAnsi="ZDingbats" w:cs="Arial"/>
                <w:color w:val="FF0000"/>
                <w:kern w:val="24"/>
                <w:sz w:val="14"/>
                <w:szCs w:val="14"/>
                <w:lang w:eastAsia="en-GB"/>
              </w:rPr>
              <w:t>t</w:t>
            </w:r>
          </w:p>
        </w:tc>
        <w:tc>
          <w:tcPr>
            <w:tcW w:w="174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Germany </w:t>
            </w:r>
          </w:p>
        </w:tc>
        <w:tc>
          <w:tcPr>
            <w:tcW w:w="158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UK </w:t>
            </w:r>
          </w:p>
        </w:tc>
        <w:tc>
          <w:tcPr>
            <w:tcW w:w="1140" w:type="dxa"/>
            <w:gridSpan w:val="2"/>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jc w:val="center"/>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178</w:t>
            </w:r>
          </w:p>
        </w:tc>
      </w:tr>
      <w:tr w:rsidR="003020C2" w:rsidRPr="003020C2" w:rsidTr="003020C2">
        <w:trPr>
          <w:gridBefore w:val="1"/>
          <w:wBefore w:w="41" w:type="dxa"/>
          <w:trHeight w:val="224"/>
        </w:trPr>
        <w:tc>
          <w:tcPr>
            <w:tcW w:w="74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230"/>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14 </w:t>
            </w:r>
            <w:r w:rsidRPr="003020C2">
              <w:rPr>
                <w:rFonts w:ascii="ZDingbats" w:eastAsia="Times New Roman" w:hAnsi="ZDingbats" w:cs="Arial"/>
                <w:color w:val="00B050"/>
                <w:kern w:val="24"/>
                <w:sz w:val="14"/>
                <w:szCs w:val="14"/>
                <w:lang w:eastAsia="en-GB"/>
              </w:rPr>
              <w:t>s</w:t>
            </w:r>
          </w:p>
        </w:tc>
        <w:tc>
          <w:tcPr>
            <w:tcW w:w="174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China </w:t>
            </w:r>
          </w:p>
        </w:tc>
        <w:tc>
          <w:tcPr>
            <w:tcW w:w="158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Brazil </w:t>
            </w:r>
          </w:p>
        </w:tc>
        <w:tc>
          <w:tcPr>
            <w:tcW w:w="1140" w:type="dxa"/>
            <w:gridSpan w:val="2"/>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jc w:val="center"/>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165</w:t>
            </w:r>
          </w:p>
        </w:tc>
      </w:tr>
      <w:tr w:rsidR="003020C2" w:rsidRPr="003020C2" w:rsidTr="003020C2">
        <w:trPr>
          <w:gridBefore w:val="1"/>
          <w:wBefore w:w="41" w:type="dxa"/>
          <w:trHeight w:val="224"/>
        </w:trPr>
        <w:tc>
          <w:tcPr>
            <w:tcW w:w="74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230"/>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15 </w:t>
            </w:r>
            <w:r w:rsidRPr="003020C2">
              <w:rPr>
                <w:rFonts w:ascii="ZDingbats" w:eastAsia="Times New Roman" w:hAnsi="ZDingbats" w:cs="Arial"/>
                <w:color w:val="FFC000"/>
                <w:kern w:val="24"/>
                <w:sz w:val="14"/>
                <w:szCs w:val="14"/>
                <w:lang w:eastAsia="en-GB"/>
              </w:rPr>
              <w:t>g</w:t>
            </w:r>
          </w:p>
        </w:tc>
        <w:tc>
          <w:tcPr>
            <w:tcW w:w="174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China </w:t>
            </w:r>
          </w:p>
        </w:tc>
        <w:tc>
          <w:tcPr>
            <w:tcW w:w="158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Saudi Arabia </w:t>
            </w:r>
          </w:p>
        </w:tc>
        <w:tc>
          <w:tcPr>
            <w:tcW w:w="1140" w:type="dxa"/>
            <w:gridSpan w:val="2"/>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jc w:val="center"/>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164</w:t>
            </w:r>
          </w:p>
        </w:tc>
      </w:tr>
      <w:tr w:rsidR="003020C2" w:rsidRPr="003020C2" w:rsidTr="003020C2">
        <w:trPr>
          <w:gridBefore w:val="1"/>
          <w:wBefore w:w="41" w:type="dxa"/>
          <w:trHeight w:val="224"/>
        </w:trPr>
        <w:tc>
          <w:tcPr>
            <w:tcW w:w="74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230"/>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16 </w:t>
            </w:r>
            <w:r w:rsidRPr="003020C2">
              <w:rPr>
                <w:rFonts w:ascii="ZDingbats" w:eastAsia="Times New Roman" w:hAnsi="ZDingbats" w:cs="Arial"/>
                <w:color w:val="FF0000"/>
                <w:kern w:val="24"/>
                <w:sz w:val="14"/>
                <w:szCs w:val="14"/>
                <w:lang w:eastAsia="en-GB"/>
              </w:rPr>
              <w:t>t</w:t>
            </w:r>
          </w:p>
        </w:tc>
        <w:tc>
          <w:tcPr>
            <w:tcW w:w="174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Germany </w:t>
            </w:r>
          </w:p>
        </w:tc>
        <w:tc>
          <w:tcPr>
            <w:tcW w:w="158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Italy </w:t>
            </w:r>
          </w:p>
        </w:tc>
        <w:tc>
          <w:tcPr>
            <w:tcW w:w="1140" w:type="dxa"/>
            <w:gridSpan w:val="2"/>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jc w:val="center"/>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163</w:t>
            </w:r>
          </w:p>
        </w:tc>
      </w:tr>
      <w:tr w:rsidR="003020C2" w:rsidRPr="003020C2" w:rsidTr="003020C2">
        <w:trPr>
          <w:gridBefore w:val="1"/>
          <w:wBefore w:w="41" w:type="dxa"/>
          <w:trHeight w:val="224"/>
        </w:trPr>
        <w:tc>
          <w:tcPr>
            <w:tcW w:w="74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230"/>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17 </w:t>
            </w:r>
            <w:r w:rsidRPr="003020C2">
              <w:rPr>
                <w:rFonts w:ascii="ZDingbats" w:eastAsia="Times New Roman" w:hAnsi="ZDingbats" w:cs="Arial"/>
                <w:color w:val="FF0000"/>
                <w:kern w:val="24"/>
                <w:sz w:val="14"/>
                <w:szCs w:val="14"/>
                <w:lang w:eastAsia="en-GB"/>
              </w:rPr>
              <w:t>t</w:t>
            </w:r>
          </w:p>
        </w:tc>
        <w:tc>
          <w:tcPr>
            <w:tcW w:w="174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Hong Kong </w:t>
            </w:r>
          </w:p>
        </w:tc>
        <w:tc>
          <w:tcPr>
            <w:tcW w:w="158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US </w:t>
            </w:r>
          </w:p>
        </w:tc>
        <w:tc>
          <w:tcPr>
            <w:tcW w:w="1140" w:type="dxa"/>
            <w:gridSpan w:val="2"/>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jc w:val="center"/>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146</w:t>
            </w:r>
          </w:p>
        </w:tc>
      </w:tr>
      <w:tr w:rsidR="003020C2" w:rsidRPr="003020C2" w:rsidTr="003020C2">
        <w:trPr>
          <w:gridBefore w:val="1"/>
          <w:wBefore w:w="41" w:type="dxa"/>
          <w:trHeight w:val="224"/>
        </w:trPr>
        <w:tc>
          <w:tcPr>
            <w:tcW w:w="74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230"/>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18 </w:t>
            </w:r>
            <w:r w:rsidRPr="003020C2">
              <w:rPr>
                <w:rFonts w:ascii="ZDingbats" w:eastAsia="Times New Roman" w:hAnsi="ZDingbats" w:cs="Arial"/>
                <w:color w:val="FFC000"/>
                <w:kern w:val="24"/>
                <w:sz w:val="14"/>
                <w:szCs w:val="14"/>
                <w:lang w:eastAsia="en-GB"/>
              </w:rPr>
              <w:t>g</w:t>
            </w:r>
          </w:p>
        </w:tc>
        <w:tc>
          <w:tcPr>
            <w:tcW w:w="174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China </w:t>
            </w:r>
          </w:p>
        </w:tc>
        <w:tc>
          <w:tcPr>
            <w:tcW w:w="158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UAE </w:t>
            </w:r>
          </w:p>
        </w:tc>
        <w:tc>
          <w:tcPr>
            <w:tcW w:w="1140" w:type="dxa"/>
            <w:gridSpan w:val="2"/>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jc w:val="center"/>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144</w:t>
            </w:r>
          </w:p>
        </w:tc>
      </w:tr>
      <w:tr w:rsidR="003020C2" w:rsidRPr="003020C2" w:rsidTr="003020C2">
        <w:trPr>
          <w:gridBefore w:val="1"/>
          <w:wBefore w:w="41" w:type="dxa"/>
          <w:trHeight w:val="224"/>
        </w:trPr>
        <w:tc>
          <w:tcPr>
            <w:tcW w:w="74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230"/>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19 </w:t>
            </w:r>
            <w:r w:rsidRPr="003020C2">
              <w:rPr>
                <w:rFonts w:ascii="ZDingbats" w:eastAsia="Times New Roman" w:hAnsi="ZDingbats" w:cs="Arial"/>
                <w:color w:val="FF0000"/>
                <w:kern w:val="24"/>
                <w:sz w:val="14"/>
                <w:szCs w:val="14"/>
                <w:lang w:eastAsia="en-GB"/>
              </w:rPr>
              <w:t>t</w:t>
            </w:r>
          </w:p>
        </w:tc>
        <w:tc>
          <w:tcPr>
            <w:tcW w:w="174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South Korea </w:t>
            </w:r>
          </w:p>
        </w:tc>
        <w:tc>
          <w:tcPr>
            <w:tcW w:w="1580" w:type="dxa"/>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US </w:t>
            </w:r>
          </w:p>
        </w:tc>
        <w:tc>
          <w:tcPr>
            <w:tcW w:w="1140" w:type="dxa"/>
            <w:gridSpan w:val="2"/>
            <w:tcBorders>
              <w:top w:val="dotted" w:sz="8" w:space="0" w:color="A32020"/>
              <w:left w:val="nil"/>
              <w:bottom w:val="dotted" w:sz="8" w:space="0" w:color="A32020"/>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jc w:val="center"/>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142</w:t>
            </w:r>
          </w:p>
        </w:tc>
      </w:tr>
      <w:tr w:rsidR="003020C2" w:rsidRPr="003020C2" w:rsidTr="003020C2">
        <w:trPr>
          <w:gridBefore w:val="1"/>
          <w:wBefore w:w="41" w:type="dxa"/>
          <w:trHeight w:val="224"/>
        </w:trPr>
        <w:tc>
          <w:tcPr>
            <w:tcW w:w="740" w:type="dxa"/>
            <w:tcBorders>
              <w:top w:val="dotted" w:sz="8" w:space="0" w:color="A32020"/>
              <w:left w:val="nil"/>
              <w:bottom w:val="nil"/>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230"/>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20 </w:t>
            </w:r>
            <w:r w:rsidRPr="003020C2">
              <w:rPr>
                <w:rFonts w:ascii="ZDingbats" w:eastAsia="Times New Roman" w:hAnsi="ZDingbats" w:cs="Arial"/>
                <w:color w:val="FF0000"/>
                <w:kern w:val="24"/>
                <w:sz w:val="14"/>
                <w:szCs w:val="14"/>
                <w:lang w:eastAsia="en-GB"/>
              </w:rPr>
              <w:t>t</w:t>
            </w:r>
          </w:p>
        </w:tc>
        <w:tc>
          <w:tcPr>
            <w:tcW w:w="1740" w:type="dxa"/>
            <w:tcBorders>
              <w:top w:val="dotted" w:sz="8" w:space="0" w:color="A32020"/>
              <w:left w:val="nil"/>
              <w:bottom w:val="nil"/>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UAE </w:t>
            </w:r>
          </w:p>
        </w:tc>
        <w:tc>
          <w:tcPr>
            <w:tcW w:w="1580" w:type="dxa"/>
            <w:tcBorders>
              <w:top w:val="dotted" w:sz="8" w:space="0" w:color="A32020"/>
              <w:left w:val="nil"/>
              <w:bottom w:val="nil"/>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ind w:left="58"/>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 xml:space="preserve">India </w:t>
            </w:r>
          </w:p>
        </w:tc>
        <w:tc>
          <w:tcPr>
            <w:tcW w:w="1140" w:type="dxa"/>
            <w:gridSpan w:val="2"/>
            <w:tcBorders>
              <w:top w:val="dotted" w:sz="8" w:space="0" w:color="A32020"/>
              <w:left w:val="nil"/>
              <w:bottom w:val="nil"/>
              <w:right w:val="nil"/>
            </w:tcBorders>
            <w:shd w:val="clear" w:color="auto" w:fill="auto"/>
            <w:tcMar>
              <w:top w:w="28" w:type="dxa"/>
              <w:left w:w="28" w:type="dxa"/>
              <w:bottom w:w="28" w:type="dxa"/>
              <w:right w:w="28" w:type="dxa"/>
            </w:tcMar>
            <w:vAlign w:val="center"/>
            <w:hideMark/>
          </w:tcPr>
          <w:p w:rsidR="003020C2" w:rsidRPr="003020C2" w:rsidRDefault="003020C2" w:rsidP="003020C2">
            <w:pPr>
              <w:spacing w:line="224" w:lineRule="atLeast"/>
              <w:jc w:val="center"/>
              <w:textAlignment w:val="bottom"/>
              <w:rPr>
                <w:rFonts w:ascii="Arial" w:eastAsia="Times New Roman" w:hAnsi="Arial" w:cs="Arial"/>
                <w:sz w:val="36"/>
                <w:szCs w:val="36"/>
                <w:lang w:eastAsia="en-GB"/>
              </w:rPr>
            </w:pPr>
            <w:r w:rsidRPr="003020C2">
              <w:rPr>
                <w:rFonts w:ascii="Arial" w:eastAsia="Times New Roman" w:hAnsi="Arial" w:cs="Arial"/>
                <w:color w:val="000000"/>
                <w:kern w:val="24"/>
                <w:sz w:val="14"/>
                <w:szCs w:val="14"/>
                <w:lang w:eastAsia="en-GB"/>
              </w:rPr>
              <w:t>141</w:t>
            </w:r>
          </w:p>
        </w:tc>
      </w:tr>
      <w:tr w:rsidR="003020C2" w:rsidRPr="003020C2" w:rsidTr="003020C2">
        <w:trPr>
          <w:gridAfter w:val="1"/>
          <w:wAfter w:w="41" w:type="dxa"/>
          <w:trHeight w:val="258"/>
        </w:trPr>
        <w:tc>
          <w:tcPr>
            <w:tcW w:w="5200" w:type="dxa"/>
            <w:gridSpan w:val="5"/>
            <w:tcBorders>
              <w:top w:val="dotted" w:sz="8" w:space="0" w:color="A32020"/>
              <w:left w:val="nil"/>
              <w:bottom w:val="single" w:sz="8" w:space="0" w:color="A32020"/>
              <w:right w:val="nil"/>
            </w:tcBorders>
            <w:shd w:val="clear" w:color="auto" w:fill="auto"/>
            <w:tcMar>
              <w:top w:w="57" w:type="dxa"/>
              <w:left w:w="113" w:type="dxa"/>
              <w:bottom w:w="57" w:type="dxa"/>
              <w:right w:w="113" w:type="dxa"/>
            </w:tcMar>
            <w:hideMark/>
          </w:tcPr>
          <w:p w:rsidR="00BD626D" w:rsidRPr="003020C2" w:rsidRDefault="003020C2" w:rsidP="003020C2">
            <w:pPr>
              <w:autoSpaceDE w:val="0"/>
              <w:autoSpaceDN w:val="0"/>
              <w:adjustRightInd w:val="0"/>
              <w:spacing w:line="240" w:lineRule="auto"/>
              <w:ind w:right="430"/>
              <w:rPr>
                <w:rFonts w:cs="Georgia"/>
                <w:color w:val="000000"/>
                <w:szCs w:val="20"/>
              </w:rPr>
            </w:pPr>
            <w:r w:rsidRPr="003020C2">
              <w:rPr>
                <w:rFonts w:cs="Georgia"/>
                <w:color w:val="000000"/>
                <w:sz w:val="14"/>
                <w:szCs w:val="20"/>
                <w:lang w:val="en-IN"/>
              </w:rPr>
              <w:t>Source: PwC analysis</w:t>
            </w:r>
          </w:p>
        </w:tc>
      </w:tr>
    </w:tbl>
    <w:p w:rsidR="00636FB0" w:rsidRDefault="003020C2" w:rsidP="006609DD">
      <w:pPr>
        <w:autoSpaceDE w:val="0"/>
        <w:autoSpaceDN w:val="0"/>
        <w:adjustRightInd w:val="0"/>
        <w:spacing w:line="240" w:lineRule="auto"/>
        <w:ind w:right="430"/>
        <w:rPr>
          <w:rFonts w:cs="Georgia"/>
          <w:color w:val="000000"/>
          <w:szCs w:val="20"/>
          <w:lang w:val="en-US"/>
        </w:rPr>
      </w:pPr>
      <w:r w:rsidRPr="001D1376">
        <w:rPr>
          <w:rFonts w:cs="Georgia"/>
          <w:noProof/>
          <w:color w:val="000000"/>
          <w:szCs w:val="20"/>
          <w:lang w:val="en-US"/>
        </w:rPr>
        <mc:AlternateContent>
          <mc:Choice Requires="wps">
            <w:drawing>
              <wp:anchor distT="0" distB="0" distL="114300" distR="114300" simplePos="0" relativeHeight="251662336" behindDoc="0" locked="0" layoutInCell="1" allowOverlap="1" wp14:anchorId="75251C3A" wp14:editId="2BB8CE24">
                <wp:simplePos x="0" y="0"/>
                <wp:positionH relativeFrom="column">
                  <wp:posOffset>-80645</wp:posOffset>
                </wp:positionH>
                <wp:positionV relativeFrom="paragraph">
                  <wp:posOffset>31115</wp:posOffset>
                </wp:positionV>
                <wp:extent cx="3298095" cy="107722"/>
                <wp:effectExtent l="0" t="0" r="0" b="0"/>
                <wp:wrapNone/>
                <wp:docPr id="22" name="Rectangle 21"/>
                <wp:cNvGraphicFramePr/>
                <a:graphic xmlns:a="http://schemas.openxmlformats.org/drawingml/2006/main">
                  <a:graphicData uri="http://schemas.microsoft.com/office/word/2010/wordprocessingShape">
                    <wps:wsp>
                      <wps:cNvSpPr/>
                      <wps:spPr>
                        <a:xfrm>
                          <a:off x="0" y="0"/>
                          <a:ext cx="3298095" cy="107722"/>
                        </a:xfrm>
                        <a:prstGeom prst="rect">
                          <a:avLst/>
                        </a:prstGeom>
                      </wps:spPr>
                      <wps:txbx>
                        <w:txbxContent>
                          <w:p w:rsidR="003020C2" w:rsidRDefault="003020C2" w:rsidP="003020C2">
                            <w:pPr>
                              <w:pStyle w:val="NormalWeb"/>
                              <w:spacing w:before="0" w:beforeAutospacing="0" w:after="0" w:afterAutospacing="0"/>
                            </w:pPr>
                            <w:r w:rsidRPr="003020C2">
                              <w:rPr>
                                <w:rFonts w:ascii="ZDingbats" w:hAnsi="ZDingbats" w:cs="Arial"/>
                                <w:color w:val="602320"/>
                                <w:kern w:val="24"/>
                                <w:sz w:val="14"/>
                                <w:szCs w:val="14"/>
                                <w:lang w:eastAsia="en-GB"/>
                              </w:rPr>
                              <w:t>u</w:t>
                            </w:r>
                            <w:r w:rsidDel="003020C2">
                              <w:rPr>
                                <w:rFonts w:ascii="ZDingbats" w:hAnsi="ZDingbats" w:cstheme="minorBidi"/>
                                <w:color w:val="9BBB59" w:themeColor="accent3"/>
                                <w:kern w:val="24"/>
                                <w:sz w:val="14"/>
                                <w:szCs w:val="14"/>
                              </w:rPr>
                              <w:t xml:space="preserve"> </w:t>
                            </w:r>
                            <w:r>
                              <w:rPr>
                                <w:rFonts w:asciiTheme="majorHAnsi" w:hAnsi="Cambria" w:cstheme="minorBidi"/>
                                <w:color w:val="000000" w:themeColor="text1"/>
                                <w:kern w:val="24"/>
                                <w:sz w:val="14"/>
                                <w:szCs w:val="14"/>
                              </w:rPr>
                              <w:t xml:space="preserve">retains position; </w:t>
                            </w:r>
                            <w:r>
                              <w:rPr>
                                <w:rFonts w:ascii="ZDingbats" w:hAnsi="ZDingbats" w:cstheme="minorBidi"/>
                                <w:color w:val="00B050"/>
                                <w:kern w:val="24"/>
                                <w:sz w:val="14"/>
                                <w:szCs w:val="14"/>
                              </w:rPr>
                              <w:t xml:space="preserve">s </w:t>
                            </w:r>
                            <w:r>
                              <w:rPr>
                                <w:rFonts w:asciiTheme="majorHAnsi" w:hAnsi="Cambria" w:cstheme="minorBidi"/>
                                <w:color w:val="000000" w:themeColor="text1"/>
                                <w:kern w:val="24"/>
                                <w:sz w:val="14"/>
                                <w:szCs w:val="14"/>
                              </w:rPr>
                              <w:t xml:space="preserve">moves up; </w:t>
                            </w:r>
                            <w:r>
                              <w:rPr>
                                <w:rFonts w:ascii="ZDingbats" w:hAnsi="ZDingbats" w:cstheme="minorBidi"/>
                                <w:color w:val="FF0000"/>
                                <w:kern w:val="24"/>
                                <w:sz w:val="14"/>
                                <w:szCs w:val="14"/>
                              </w:rPr>
                              <w:t xml:space="preserve">t </w:t>
                            </w:r>
                            <w:r>
                              <w:rPr>
                                <w:rFonts w:asciiTheme="majorHAnsi" w:hAnsi="Cambria" w:cstheme="minorBidi"/>
                                <w:color w:val="000000" w:themeColor="text1"/>
                                <w:kern w:val="24"/>
                                <w:sz w:val="14"/>
                                <w:szCs w:val="14"/>
                              </w:rPr>
                              <w:t xml:space="preserve">moves down; </w:t>
                            </w:r>
                            <w:r>
                              <w:rPr>
                                <w:rFonts w:ascii="ZDingbats" w:hAnsi="ZDingbats" w:cstheme="minorBidi"/>
                                <w:color w:val="FFC000"/>
                                <w:kern w:val="24"/>
                                <w:sz w:val="14"/>
                                <w:szCs w:val="14"/>
                              </w:rPr>
                              <w:t xml:space="preserve">g </w:t>
                            </w:r>
                            <w:r>
                              <w:rPr>
                                <w:rFonts w:asciiTheme="majorHAnsi" w:hAnsi="Cambria" w:cstheme="minorBidi"/>
                                <w:color w:val="000000" w:themeColor="text1"/>
                                <w:kern w:val="24"/>
                                <w:sz w:val="14"/>
                                <w:szCs w:val="14"/>
                              </w:rPr>
                              <w:t xml:space="preserve">new entrant   </w:t>
                            </w:r>
                          </w:p>
                        </w:txbxContent>
                      </wps:txbx>
                      <wps:bodyPr wrap="square" lIns="0" tIns="0" rIns="0" bIns="0">
                        <a:spAutoFit/>
                      </wps:bodyPr>
                    </wps:wsp>
                  </a:graphicData>
                </a:graphic>
              </wp:anchor>
            </w:drawing>
          </mc:Choice>
          <mc:Fallback>
            <w:pict>
              <v:rect id="Rectangle 21" o:spid="_x0000_s1026" style="position:absolute;margin-left:-6.35pt;margin-top:2.45pt;width:259.7pt;height: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" filled="f" stroked="f">
                <v:textbox style="mso-fit-shape-to-text:t" inset="0,0,0,0">
                  <w:txbxContent>
                    <w:p w:rsidR="003020C2" w:rsidRDefault="003020C2" w:rsidP="003020C2">
                      <w:pPr>
                        <w:pStyle w:val="NormalWeb"/>
                        <w:spacing w:before="0" w:beforeAutospacing="0" w:after="0" w:afterAutospacing="0"/>
                      </w:pPr>
                      <w:r w:rsidRPr="003020C2">
                        <w:rPr>
                          <w:rFonts w:ascii="ZDingbats" w:hAnsi="ZDingbats" w:cs="Arial"/>
                          <w:color w:val="602320"/>
                          <w:kern w:val="24"/>
                          <w:sz w:val="14"/>
                          <w:szCs w:val="14"/>
                          <w:lang w:eastAsia="en-GB"/>
                        </w:rPr>
                        <w:t>u</w:t>
                      </w:r>
                      <w:r w:rsidDel="003020C2">
                        <w:rPr>
                          <w:rFonts w:ascii="ZDingbats" w:hAnsi="ZDingbats" w:cstheme="minorBidi"/>
                          <w:color w:val="9BBB59" w:themeColor="accent3"/>
                          <w:kern w:val="24"/>
                          <w:sz w:val="14"/>
                          <w:szCs w:val="14"/>
                        </w:rPr>
                        <w:t xml:space="preserve"> </w:t>
                      </w:r>
                      <w:r>
                        <w:rPr>
                          <w:rFonts w:asciiTheme="majorHAnsi" w:hAnsi="Cambria" w:cstheme="minorBidi"/>
                          <w:color w:val="000000" w:themeColor="text1"/>
                          <w:kern w:val="24"/>
                          <w:sz w:val="14"/>
                          <w:szCs w:val="14"/>
                        </w:rPr>
                        <w:t xml:space="preserve">retains position; </w:t>
                      </w:r>
                      <w:r>
                        <w:rPr>
                          <w:rFonts w:ascii="ZDingbats" w:hAnsi="ZDingbats" w:cstheme="minorBidi"/>
                          <w:color w:val="00B050"/>
                          <w:kern w:val="24"/>
                          <w:sz w:val="14"/>
                          <w:szCs w:val="14"/>
                        </w:rPr>
                        <w:t xml:space="preserve">s </w:t>
                      </w:r>
                      <w:r>
                        <w:rPr>
                          <w:rFonts w:asciiTheme="majorHAnsi" w:hAnsi="Cambria" w:cstheme="minorBidi"/>
                          <w:color w:val="000000" w:themeColor="text1"/>
                          <w:kern w:val="24"/>
                          <w:sz w:val="14"/>
                          <w:szCs w:val="14"/>
                        </w:rPr>
                        <w:t xml:space="preserve">moves up; </w:t>
                      </w:r>
                      <w:r>
                        <w:rPr>
                          <w:rFonts w:ascii="ZDingbats" w:hAnsi="ZDingbats" w:cstheme="minorBidi"/>
                          <w:color w:val="FF0000"/>
                          <w:kern w:val="24"/>
                          <w:sz w:val="14"/>
                          <w:szCs w:val="14"/>
                        </w:rPr>
                        <w:t xml:space="preserve">t </w:t>
                      </w:r>
                      <w:r>
                        <w:rPr>
                          <w:rFonts w:asciiTheme="majorHAnsi" w:hAnsi="Cambria" w:cstheme="minorBidi"/>
                          <w:color w:val="000000" w:themeColor="text1"/>
                          <w:kern w:val="24"/>
                          <w:sz w:val="14"/>
                          <w:szCs w:val="14"/>
                        </w:rPr>
                        <w:t xml:space="preserve">moves down; </w:t>
                      </w:r>
                      <w:r>
                        <w:rPr>
                          <w:rFonts w:ascii="ZDingbats" w:hAnsi="ZDingbats" w:cstheme="minorBidi"/>
                          <w:color w:val="FFC000"/>
                          <w:kern w:val="24"/>
                          <w:sz w:val="14"/>
                          <w:szCs w:val="14"/>
                        </w:rPr>
                        <w:t xml:space="preserve">g </w:t>
                      </w:r>
                      <w:r>
                        <w:rPr>
                          <w:rFonts w:asciiTheme="majorHAnsi" w:hAnsi="Cambria" w:cstheme="minorBidi"/>
                          <w:color w:val="000000" w:themeColor="text1"/>
                          <w:kern w:val="24"/>
                          <w:sz w:val="14"/>
                          <w:szCs w:val="14"/>
                        </w:rPr>
                        <w:t xml:space="preserve">new entrant   </w:t>
                      </w:r>
                    </w:p>
                  </w:txbxContent>
                </v:textbox>
              </v:rect>
            </w:pict>
          </mc:Fallback>
        </mc:AlternateContent>
      </w:r>
    </w:p>
    <w:p w:rsidR="00636FB0" w:rsidRDefault="00D0076A" w:rsidP="006609DD">
      <w:pPr>
        <w:autoSpaceDE w:val="0"/>
        <w:autoSpaceDN w:val="0"/>
        <w:adjustRightInd w:val="0"/>
        <w:spacing w:line="240" w:lineRule="auto"/>
        <w:ind w:right="430"/>
        <w:rPr>
          <w:rFonts w:cs="Georgia"/>
          <w:color w:val="000000"/>
          <w:szCs w:val="20"/>
          <w:lang w:val="en-US"/>
        </w:rPr>
      </w:pPr>
      <w:r w:rsidRPr="001D1376">
        <w:rPr>
          <w:rFonts w:cs="Georgia"/>
          <w:noProof/>
          <w:color w:val="000000"/>
          <w:szCs w:val="20"/>
          <w:lang w:val="en-US"/>
        </w:rPr>
        <mc:AlternateContent>
          <mc:Choice Requires="wps">
            <w:drawing>
              <wp:anchor distT="0" distB="0" distL="114300" distR="114300" simplePos="0" relativeHeight="251664384" behindDoc="0" locked="0" layoutInCell="1" allowOverlap="1" wp14:anchorId="2B844314" wp14:editId="0C0E27CB">
                <wp:simplePos x="0" y="0"/>
                <wp:positionH relativeFrom="column">
                  <wp:posOffset>-80645</wp:posOffset>
                </wp:positionH>
                <wp:positionV relativeFrom="paragraph">
                  <wp:posOffset>67945</wp:posOffset>
                </wp:positionV>
                <wp:extent cx="3297555" cy="215265"/>
                <wp:effectExtent l="0" t="0" r="0" b="0"/>
                <wp:wrapNone/>
                <wp:docPr id="54" name="Rectangle 53"/>
                <wp:cNvGraphicFramePr/>
                <a:graphic xmlns:a="http://schemas.openxmlformats.org/drawingml/2006/main">
                  <a:graphicData uri="http://schemas.microsoft.com/office/word/2010/wordprocessingShape">
                    <wps:wsp>
                      <wps:cNvSpPr/>
                      <wps:spPr>
                        <a:xfrm>
                          <a:off x="0" y="0"/>
                          <a:ext cx="3297555" cy="215265"/>
                        </a:xfrm>
                        <a:prstGeom prst="rect">
                          <a:avLst/>
                        </a:prstGeom>
                      </wps:spPr>
                      <wps:txbx>
                        <w:txbxContent>
                          <w:p w:rsidR="00D0076A" w:rsidRDefault="00D0076A" w:rsidP="00D0076A">
                            <w:pPr>
                              <w:pStyle w:val="NormalWeb"/>
                              <w:spacing w:before="0" w:beforeAutospacing="0" w:after="0" w:afterAutospacing="0"/>
                            </w:pPr>
                            <w:r>
                              <w:rPr>
                                <w:rFonts w:ascii="Georgia" w:hAnsi="Georgia" w:cstheme="minorBidi"/>
                                <w:color w:val="000000" w:themeColor="text1"/>
                                <w:kern w:val="24"/>
                                <w:sz w:val="14"/>
                                <w:szCs w:val="14"/>
                                <w:lang w:val="en-IN"/>
                              </w:rPr>
                              <w:t>Note: For the purpose of compiling the table, we have removed intra-European (with the exception of the 4 largest European economies), US-Canada and China-Hong Kong trade routes.</w:t>
                            </w:r>
                          </w:p>
                        </w:txbxContent>
                      </wps:txbx>
                      <wps:bodyPr wrap="square" lIns="0" tIns="0" rIns="0" bIns="0">
                        <a:spAutoFit/>
                      </wps:bodyPr>
                    </wps:wsp>
                  </a:graphicData>
                </a:graphic>
                <wp14:sizeRelH relativeFrom="margin">
                  <wp14:pctWidth>0</wp14:pctWidth>
                </wp14:sizeRelH>
                <wp14:sizeRelV relativeFrom="margin">
                  <wp14:pctHeight>0</wp14:pctHeight>
                </wp14:sizeRelV>
              </wp:anchor>
            </w:drawing>
          </mc:Choice>
          <mc:Fallback>
            <w:pict>
              <v:rect id="Rectangle 53" o:spid="_x0000_s1027" style="position:absolute;margin-left:-6.35pt;margin-top:5.35pt;width:259.65pt;height:1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" filled="f" stroked="f">
                <v:textbox style="mso-fit-shape-to-text:t" inset="0,0,0,0">
                  <w:txbxContent>
                    <w:p w:rsidR="00D0076A" w:rsidRDefault="00D0076A" w:rsidP="00D0076A">
                      <w:pPr>
                        <w:pStyle w:val="NormalWeb"/>
                        <w:spacing w:before="0" w:beforeAutospacing="0" w:after="0" w:afterAutospacing="0"/>
                      </w:pPr>
                      <w:r>
                        <w:rPr>
                          <w:rFonts w:ascii="Georgia" w:hAnsi="Georgia" w:cstheme="minorBidi"/>
                          <w:color w:val="000000" w:themeColor="text1"/>
                          <w:kern w:val="24"/>
                          <w:sz w:val="14"/>
                          <w:szCs w:val="14"/>
                          <w:lang w:val="en-IN"/>
                        </w:rPr>
                        <w:t>Note: For the purpose of compiling the table, we have removed intra-European (with the exception of the 4 largest European economies), US-Canada and China-Hong Kong trade routes.</w:t>
                      </w:r>
                    </w:p>
                  </w:txbxContent>
                </v:textbox>
              </v:rect>
            </w:pict>
          </mc:Fallback>
        </mc:AlternateContent>
      </w:r>
    </w:p>
    <w:p w:rsidR="00636FB0" w:rsidRDefault="00636FB0" w:rsidP="006609DD">
      <w:pPr>
        <w:autoSpaceDE w:val="0"/>
        <w:autoSpaceDN w:val="0"/>
        <w:adjustRightInd w:val="0"/>
        <w:spacing w:line="240" w:lineRule="auto"/>
        <w:ind w:right="430"/>
        <w:rPr>
          <w:rFonts w:cs="Georgia"/>
          <w:color w:val="000000"/>
          <w:szCs w:val="20"/>
          <w:lang w:val="en-US"/>
        </w:rPr>
      </w:pPr>
    </w:p>
    <w:p w:rsidR="00D0076A" w:rsidRDefault="00D0076A" w:rsidP="006609DD">
      <w:pPr>
        <w:autoSpaceDE w:val="0"/>
        <w:autoSpaceDN w:val="0"/>
        <w:adjustRightInd w:val="0"/>
        <w:spacing w:line="240" w:lineRule="auto"/>
        <w:ind w:right="430"/>
        <w:rPr>
          <w:rFonts w:cs="Georgia"/>
          <w:color w:val="000000"/>
          <w:szCs w:val="20"/>
          <w:lang w:val="en-US"/>
        </w:rPr>
      </w:pPr>
    </w:p>
    <w:p w:rsidR="00D0076A" w:rsidRDefault="001D1376" w:rsidP="001D1376">
      <w:pPr>
        <w:autoSpaceDE w:val="0"/>
        <w:autoSpaceDN w:val="0"/>
        <w:adjustRightInd w:val="0"/>
        <w:spacing w:line="240" w:lineRule="auto"/>
        <w:ind w:right="430"/>
        <w:jc w:val="right"/>
        <w:rPr>
          <w:rFonts w:cs="Georgia"/>
          <w:color w:val="000000"/>
          <w:szCs w:val="20"/>
          <w:lang w:val="en-US"/>
        </w:rPr>
      </w:pPr>
      <w:r w:rsidRPr="00A21920">
        <w:rPr>
          <w:rFonts w:cs="Georgia"/>
          <w:i/>
          <w:color w:val="000000"/>
          <w:szCs w:val="20"/>
          <w:lang w:val="en-US"/>
        </w:rPr>
        <w:t>more…</w:t>
      </w:r>
    </w:p>
    <w:p w:rsidR="001D1376" w:rsidRDefault="001D1376" w:rsidP="006609DD">
      <w:pPr>
        <w:autoSpaceDE w:val="0"/>
        <w:autoSpaceDN w:val="0"/>
        <w:adjustRightInd w:val="0"/>
        <w:spacing w:line="240" w:lineRule="auto"/>
        <w:ind w:right="430"/>
        <w:rPr>
          <w:rFonts w:cs="Georgia"/>
          <w:color w:val="000000"/>
          <w:szCs w:val="20"/>
          <w:lang w:val="en-US"/>
        </w:rPr>
      </w:pPr>
    </w:p>
    <w:p w:rsidR="001D1376" w:rsidRDefault="001D1376" w:rsidP="006609DD">
      <w:pPr>
        <w:autoSpaceDE w:val="0"/>
        <w:autoSpaceDN w:val="0"/>
        <w:adjustRightInd w:val="0"/>
        <w:spacing w:line="240" w:lineRule="auto"/>
        <w:ind w:right="430"/>
        <w:rPr>
          <w:rFonts w:cs="Georgia"/>
          <w:color w:val="000000"/>
          <w:szCs w:val="20"/>
          <w:lang w:val="en-US"/>
        </w:rPr>
      </w:pPr>
    </w:p>
    <w:p w:rsidR="001D1376" w:rsidRDefault="001D1376" w:rsidP="006609DD">
      <w:pPr>
        <w:autoSpaceDE w:val="0"/>
        <w:autoSpaceDN w:val="0"/>
        <w:adjustRightInd w:val="0"/>
        <w:spacing w:line="240" w:lineRule="auto"/>
        <w:ind w:right="430"/>
        <w:rPr>
          <w:rFonts w:cs="Georgia"/>
          <w:color w:val="000000"/>
          <w:szCs w:val="20"/>
          <w:lang w:val="en-US"/>
        </w:rPr>
      </w:pPr>
    </w:p>
    <w:p w:rsidR="001D1376" w:rsidRDefault="001D1376" w:rsidP="006609DD">
      <w:pPr>
        <w:autoSpaceDE w:val="0"/>
        <w:autoSpaceDN w:val="0"/>
        <w:adjustRightInd w:val="0"/>
        <w:spacing w:line="240" w:lineRule="auto"/>
        <w:ind w:right="430"/>
        <w:rPr>
          <w:rFonts w:cs="Georgia"/>
          <w:color w:val="000000"/>
          <w:szCs w:val="20"/>
          <w:lang w:val="en-US"/>
        </w:rPr>
      </w:pPr>
    </w:p>
    <w:p w:rsidR="001D1376" w:rsidRDefault="001D1376" w:rsidP="006609DD">
      <w:pPr>
        <w:autoSpaceDE w:val="0"/>
        <w:autoSpaceDN w:val="0"/>
        <w:adjustRightInd w:val="0"/>
        <w:spacing w:line="240" w:lineRule="auto"/>
        <w:ind w:right="430"/>
        <w:rPr>
          <w:rFonts w:cs="Georgia"/>
          <w:color w:val="000000"/>
          <w:szCs w:val="20"/>
          <w:lang w:val="en-US"/>
        </w:rPr>
      </w:pPr>
    </w:p>
    <w:p w:rsidR="001D1376" w:rsidRDefault="001D1376" w:rsidP="006609DD">
      <w:pPr>
        <w:autoSpaceDE w:val="0"/>
        <w:autoSpaceDN w:val="0"/>
        <w:adjustRightInd w:val="0"/>
        <w:spacing w:line="240" w:lineRule="auto"/>
        <w:ind w:right="430"/>
        <w:rPr>
          <w:rFonts w:cs="Georgia"/>
          <w:color w:val="000000"/>
          <w:szCs w:val="20"/>
          <w:lang w:val="en-US"/>
        </w:rPr>
      </w:pPr>
    </w:p>
    <w:p w:rsidR="001D1376" w:rsidRDefault="001D1376" w:rsidP="006609DD">
      <w:pPr>
        <w:autoSpaceDE w:val="0"/>
        <w:autoSpaceDN w:val="0"/>
        <w:adjustRightInd w:val="0"/>
        <w:spacing w:line="240" w:lineRule="auto"/>
        <w:ind w:right="430"/>
        <w:rPr>
          <w:rFonts w:cs="Georgia"/>
          <w:color w:val="000000"/>
          <w:szCs w:val="20"/>
          <w:lang w:val="en-US"/>
        </w:rPr>
      </w:pPr>
    </w:p>
    <w:p w:rsidR="001D1376" w:rsidRDefault="001D1376" w:rsidP="006609DD">
      <w:pPr>
        <w:autoSpaceDE w:val="0"/>
        <w:autoSpaceDN w:val="0"/>
        <w:adjustRightInd w:val="0"/>
        <w:spacing w:line="240" w:lineRule="auto"/>
        <w:ind w:right="430"/>
        <w:rPr>
          <w:rFonts w:cs="Georgia"/>
          <w:color w:val="000000"/>
          <w:szCs w:val="20"/>
          <w:lang w:val="en-US"/>
        </w:rPr>
      </w:pPr>
    </w:p>
    <w:p w:rsidR="00636FB0" w:rsidRDefault="008B5E0E" w:rsidP="006609DD">
      <w:pPr>
        <w:autoSpaceDE w:val="0"/>
        <w:autoSpaceDN w:val="0"/>
        <w:adjustRightInd w:val="0"/>
        <w:spacing w:line="240" w:lineRule="auto"/>
        <w:ind w:right="430"/>
        <w:rPr>
          <w:rFonts w:cs="Georgia"/>
          <w:color w:val="000000"/>
          <w:szCs w:val="20"/>
          <w:lang w:val="en-US"/>
        </w:rPr>
      </w:pPr>
      <w:r w:rsidRPr="00636FB0">
        <w:rPr>
          <w:rFonts w:cs="Georgia"/>
          <w:color w:val="000000"/>
          <w:szCs w:val="20"/>
          <w:lang w:val="en-US"/>
        </w:rPr>
        <w:t>PwC analysis indicates that global trade is expected to enter a new phase in the next two decades, with intra-emerging-market trade</w:t>
      </w:r>
      <w:r w:rsidR="00636FB0" w:rsidRPr="00636FB0">
        <w:rPr>
          <w:rFonts w:cs="Georgia"/>
          <w:color w:val="000000"/>
          <w:szCs w:val="20"/>
          <w:lang w:val="en-US"/>
        </w:rPr>
        <w:t xml:space="preserve"> growing at around 6% per annum. So that by 2030:</w:t>
      </w:r>
    </w:p>
    <w:p w:rsidR="00D15A4D" w:rsidRPr="00636FB0" w:rsidRDefault="00D15A4D" w:rsidP="006609DD">
      <w:pPr>
        <w:autoSpaceDE w:val="0"/>
        <w:autoSpaceDN w:val="0"/>
        <w:adjustRightInd w:val="0"/>
        <w:spacing w:line="240" w:lineRule="auto"/>
        <w:ind w:right="430"/>
        <w:rPr>
          <w:rFonts w:cs="Georgia"/>
          <w:color w:val="000000"/>
          <w:szCs w:val="20"/>
          <w:lang w:val="en-US"/>
        </w:rPr>
      </w:pPr>
    </w:p>
    <w:p w:rsidR="00636FB0" w:rsidRDefault="00636FB0" w:rsidP="00636FB0">
      <w:pPr>
        <w:pStyle w:val="ListParagraph"/>
        <w:numPr>
          <w:ilvl w:val="0"/>
          <w:numId w:val="7"/>
        </w:numPr>
        <w:autoSpaceDE w:val="0"/>
        <w:autoSpaceDN w:val="0"/>
        <w:adjustRightInd w:val="0"/>
        <w:spacing w:line="240" w:lineRule="auto"/>
        <w:ind w:right="430"/>
        <w:rPr>
          <w:rFonts w:ascii="Georgia" w:hAnsi="Georgia" w:cs="Georgia"/>
          <w:sz w:val="20"/>
          <w:szCs w:val="20"/>
          <w:lang w:val="en-US"/>
        </w:rPr>
      </w:pPr>
      <w:r>
        <w:rPr>
          <w:rFonts w:ascii="Georgia" w:hAnsi="Georgia" w:cs="Georgia"/>
          <w:sz w:val="20"/>
          <w:szCs w:val="20"/>
          <w:lang w:val="en-US"/>
        </w:rPr>
        <w:t>t</w:t>
      </w:r>
      <w:r w:rsidRPr="00636FB0">
        <w:rPr>
          <w:rFonts w:ascii="Georgia" w:hAnsi="Georgia" w:cs="Georgia"/>
          <w:sz w:val="20"/>
          <w:szCs w:val="20"/>
          <w:lang w:val="en-US"/>
        </w:rPr>
        <w:t>he China-India trade</w:t>
      </w:r>
      <w:r>
        <w:rPr>
          <w:rFonts w:ascii="Georgia" w:hAnsi="Georgia" w:cs="Georgia"/>
          <w:sz w:val="20"/>
          <w:szCs w:val="20"/>
          <w:lang w:val="en-US"/>
        </w:rPr>
        <w:t xml:space="preserve"> link will grow to become the world’s 7</w:t>
      </w:r>
      <w:r w:rsidRPr="00636FB0">
        <w:rPr>
          <w:rFonts w:ascii="Georgia" w:hAnsi="Georgia" w:cs="Georgia"/>
          <w:sz w:val="20"/>
          <w:szCs w:val="20"/>
          <w:vertAlign w:val="superscript"/>
          <w:lang w:val="en-US"/>
        </w:rPr>
        <w:t>th</w:t>
      </w:r>
      <w:r>
        <w:rPr>
          <w:rFonts w:ascii="Georgia" w:hAnsi="Georgia" w:cs="Georgia"/>
          <w:sz w:val="20"/>
          <w:szCs w:val="20"/>
          <w:lang w:val="en-US"/>
        </w:rPr>
        <w:t xml:space="preserve"> largest trade route</w:t>
      </w:r>
    </w:p>
    <w:p w:rsidR="00636FB0" w:rsidRDefault="00636FB0" w:rsidP="00636FB0">
      <w:pPr>
        <w:pStyle w:val="ListParagraph"/>
        <w:numPr>
          <w:ilvl w:val="0"/>
          <w:numId w:val="7"/>
        </w:numPr>
        <w:autoSpaceDE w:val="0"/>
        <w:autoSpaceDN w:val="0"/>
        <w:adjustRightInd w:val="0"/>
        <w:spacing w:line="240" w:lineRule="auto"/>
        <w:ind w:right="430"/>
        <w:rPr>
          <w:rFonts w:ascii="Georgia" w:hAnsi="Georgia" w:cs="Georgia"/>
          <w:sz w:val="20"/>
          <w:szCs w:val="20"/>
          <w:lang w:val="en-US"/>
        </w:rPr>
      </w:pPr>
      <w:r>
        <w:rPr>
          <w:rFonts w:ascii="Georgia" w:hAnsi="Georgia" w:cs="Georgia"/>
          <w:sz w:val="20"/>
          <w:szCs w:val="20"/>
          <w:lang w:val="en-US"/>
        </w:rPr>
        <w:t>resource rich economies like Brazil and Saudi Arabia are set to take advantage of China’s appetite for natural resources and further strengthen their already strong trade links with China</w:t>
      </w:r>
    </w:p>
    <w:p w:rsidR="00636FB0" w:rsidRDefault="00636FB0" w:rsidP="00636FB0">
      <w:pPr>
        <w:pStyle w:val="ListParagraph"/>
        <w:numPr>
          <w:ilvl w:val="0"/>
          <w:numId w:val="7"/>
        </w:numPr>
        <w:autoSpaceDE w:val="0"/>
        <w:autoSpaceDN w:val="0"/>
        <w:adjustRightInd w:val="0"/>
        <w:spacing w:line="240" w:lineRule="auto"/>
        <w:ind w:right="430"/>
        <w:rPr>
          <w:rFonts w:ascii="Georgia" w:hAnsi="Georgia" w:cs="Georgia"/>
          <w:sz w:val="20"/>
          <w:szCs w:val="20"/>
          <w:lang w:val="en-US"/>
        </w:rPr>
      </w:pPr>
      <w:r>
        <w:rPr>
          <w:rFonts w:ascii="Georgia" w:hAnsi="Georgia" w:cs="Georgia"/>
          <w:sz w:val="20"/>
          <w:szCs w:val="20"/>
          <w:lang w:val="en-US"/>
        </w:rPr>
        <w:t>trade links between China and other lower cost</w:t>
      </w:r>
      <w:r w:rsidR="006455EA">
        <w:rPr>
          <w:rFonts w:ascii="Georgia" w:hAnsi="Georgia" w:cs="Georgia"/>
          <w:sz w:val="20"/>
          <w:szCs w:val="20"/>
          <w:lang w:val="en-US"/>
        </w:rPr>
        <w:t xml:space="preserve"> South East Asian economies (e.g. Indonesia) will intensify as Chinese companies look to take advantage of the relatively lower wages in these markets.</w:t>
      </w:r>
    </w:p>
    <w:p w:rsidR="003D6900" w:rsidRPr="003D6900" w:rsidRDefault="003D6900" w:rsidP="003D6900">
      <w:pPr>
        <w:autoSpaceDE w:val="0"/>
        <w:autoSpaceDN w:val="0"/>
        <w:adjustRightInd w:val="0"/>
        <w:spacing w:line="240" w:lineRule="auto"/>
        <w:ind w:right="430"/>
        <w:rPr>
          <w:rFonts w:cs="Georgia"/>
          <w:szCs w:val="20"/>
          <w:lang w:val="en-US"/>
        </w:rPr>
      </w:pPr>
      <w:r>
        <w:rPr>
          <w:rFonts w:cs="Georgia"/>
          <w:szCs w:val="20"/>
          <w:lang w:val="en-US"/>
        </w:rPr>
        <w:t xml:space="preserve">So what does this mean for business? </w:t>
      </w:r>
      <w:r w:rsidRPr="003D6900">
        <w:rPr>
          <w:rFonts w:cs="Georgia"/>
          <w:szCs w:val="20"/>
          <w:lang w:val="en-US"/>
        </w:rPr>
        <w:t xml:space="preserve">China is expected to reinforce its position as the major global goods trading hub. China’s lead over the US for the title of ‘most places in the top 20’ is expected to grow from </w:t>
      </w:r>
      <w:r>
        <w:rPr>
          <w:rFonts w:cs="Georgia"/>
          <w:szCs w:val="20"/>
          <w:lang w:val="en-US"/>
        </w:rPr>
        <w:t>two</w:t>
      </w:r>
      <w:r w:rsidRPr="003D6900">
        <w:rPr>
          <w:rFonts w:cs="Georgia"/>
          <w:szCs w:val="20"/>
          <w:lang w:val="en-US"/>
        </w:rPr>
        <w:t xml:space="preserve"> places in 2013 to </w:t>
      </w:r>
      <w:r>
        <w:rPr>
          <w:rFonts w:cs="Georgia"/>
          <w:szCs w:val="20"/>
          <w:lang w:val="en-US"/>
        </w:rPr>
        <w:t>seven</w:t>
      </w:r>
      <w:r w:rsidRPr="003D6900">
        <w:rPr>
          <w:rFonts w:cs="Georgia"/>
          <w:szCs w:val="20"/>
          <w:lang w:val="en-US"/>
        </w:rPr>
        <w:t xml:space="preserve"> places in 2030, further evidence of economic power shifting from the West to the East.</w:t>
      </w:r>
    </w:p>
    <w:p w:rsidR="003D6900" w:rsidRDefault="003D6900" w:rsidP="003D6900">
      <w:pPr>
        <w:autoSpaceDE w:val="0"/>
        <w:autoSpaceDN w:val="0"/>
        <w:adjustRightInd w:val="0"/>
        <w:spacing w:line="240" w:lineRule="auto"/>
        <w:ind w:right="430"/>
        <w:rPr>
          <w:rFonts w:cs="Georgia"/>
          <w:szCs w:val="20"/>
          <w:lang w:val="en-US"/>
        </w:rPr>
      </w:pPr>
    </w:p>
    <w:p w:rsidR="006455EA" w:rsidRPr="006455EA" w:rsidRDefault="003D6900" w:rsidP="003D6900">
      <w:pPr>
        <w:autoSpaceDE w:val="0"/>
        <w:autoSpaceDN w:val="0"/>
        <w:adjustRightInd w:val="0"/>
        <w:spacing w:line="240" w:lineRule="auto"/>
        <w:ind w:right="430"/>
        <w:rPr>
          <w:rFonts w:cs="Georgia"/>
          <w:szCs w:val="20"/>
          <w:lang w:val="en-US"/>
        </w:rPr>
      </w:pPr>
      <w:r>
        <w:rPr>
          <w:rFonts w:cs="Georgia"/>
          <w:szCs w:val="20"/>
          <w:lang w:val="en-US"/>
        </w:rPr>
        <w:t>And t</w:t>
      </w:r>
      <w:r w:rsidRPr="003D6900">
        <w:rPr>
          <w:rFonts w:cs="Georgia"/>
          <w:szCs w:val="20"/>
          <w:lang w:val="en-US"/>
        </w:rPr>
        <w:t>he emergence of South East Asia as a centre for global trade will need to be accompanied by major infrastructure investments, particularly in transportation, to allow easier movement of goods to market.</w:t>
      </w:r>
    </w:p>
    <w:p w:rsidR="008B5E0E" w:rsidRDefault="008B5E0E" w:rsidP="006609DD">
      <w:pPr>
        <w:autoSpaceDE w:val="0"/>
        <w:autoSpaceDN w:val="0"/>
        <w:adjustRightInd w:val="0"/>
        <w:spacing w:line="240" w:lineRule="auto"/>
        <w:ind w:right="430"/>
        <w:rPr>
          <w:rFonts w:cs="Georgia"/>
          <w:color w:val="000000"/>
          <w:szCs w:val="20"/>
          <w:lang w:val="en-US"/>
        </w:rPr>
      </w:pPr>
      <w:r>
        <w:rPr>
          <w:rFonts w:cs="Georgia"/>
          <w:color w:val="000000"/>
          <w:szCs w:val="20"/>
          <w:lang w:val="en-US"/>
        </w:rPr>
        <w:t xml:space="preserve"> </w:t>
      </w:r>
    </w:p>
    <w:p w:rsidR="003D6900" w:rsidRDefault="003D6900" w:rsidP="005E10F1">
      <w:pPr>
        <w:tabs>
          <w:tab w:val="left" w:pos="2043"/>
        </w:tabs>
        <w:autoSpaceDE w:val="0"/>
        <w:autoSpaceDN w:val="0"/>
        <w:adjustRightInd w:val="0"/>
        <w:spacing w:line="240" w:lineRule="auto"/>
        <w:ind w:right="430"/>
        <w:rPr>
          <w:b/>
          <w:szCs w:val="20"/>
          <w:lang w:val="en-US"/>
        </w:rPr>
      </w:pPr>
      <w:bookmarkStart w:id="0" w:name="_GoBack"/>
      <w:bookmarkEnd w:id="0"/>
    </w:p>
    <w:p w:rsidR="003E6603" w:rsidRPr="00085BFC" w:rsidRDefault="00901906" w:rsidP="005E10F1">
      <w:pPr>
        <w:tabs>
          <w:tab w:val="left" w:pos="2043"/>
        </w:tabs>
        <w:autoSpaceDE w:val="0"/>
        <w:autoSpaceDN w:val="0"/>
        <w:adjustRightInd w:val="0"/>
        <w:spacing w:line="240" w:lineRule="auto"/>
        <w:ind w:right="430"/>
        <w:rPr>
          <w:b/>
          <w:szCs w:val="20"/>
          <w:lang w:val="en-US"/>
        </w:rPr>
      </w:pPr>
      <w:r w:rsidRPr="00085BFC">
        <w:rPr>
          <w:b/>
          <w:szCs w:val="20"/>
          <w:lang w:val="en-US"/>
        </w:rPr>
        <w:t>Note</w:t>
      </w:r>
      <w:r w:rsidR="00196C57" w:rsidRPr="00085BFC">
        <w:rPr>
          <w:b/>
          <w:szCs w:val="20"/>
          <w:lang w:val="en-US"/>
        </w:rPr>
        <w:t>:</w:t>
      </w:r>
      <w:r w:rsidR="00C76C70" w:rsidRPr="00085BFC">
        <w:rPr>
          <w:b/>
          <w:szCs w:val="20"/>
          <w:lang w:val="en-US"/>
        </w:rPr>
        <w:t xml:space="preserve"> </w:t>
      </w:r>
    </w:p>
    <w:p w:rsidR="003D6900" w:rsidRDefault="003D6900" w:rsidP="003D6900">
      <w:pPr>
        <w:tabs>
          <w:tab w:val="left" w:pos="2043"/>
        </w:tabs>
        <w:autoSpaceDE w:val="0"/>
        <w:autoSpaceDN w:val="0"/>
        <w:adjustRightInd w:val="0"/>
        <w:spacing w:line="240" w:lineRule="auto"/>
        <w:ind w:right="430"/>
        <w:rPr>
          <w:szCs w:val="20"/>
          <w:lang w:val="en-US"/>
        </w:rPr>
      </w:pPr>
      <w:r w:rsidRPr="00085BFC">
        <w:rPr>
          <w:szCs w:val="20"/>
          <w:lang w:val="en-US"/>
        </w:rPr>
        <w:t>Our analysis above was based on an update of our previous research (Future of world trade: Top 25 sea and air freight routes in 2030). Our estimates are based on the following key assumptions:</w:t>
      </w:r>
    </w:p>
    <w:p w:rsidR="00D15A4D" w:rsidRPr="00085BFC" w:rsidRDefault="00D15A4D" w:rsidP="003D6900">
      <w:pPr>
        <w:tabs>
          <w:tab w:val="left" w:pos="2043"/>
        </w:tabs>
        <w:autoSpaceDE w:val="0"/>
        <w:autoSpaceDN w:val="0"/>
        <w:adjustRightInd w:val="0"/>
        <w:spacing w:line="240" w:lineRule="auto"/>
        <w:ind w:right="430"/>
        <w:rPr>
          <w:szCs w:val="20"/>
          <w:lang w:val="en-US"/>
        </w:rPr>
      </w:pPr>
    </w:p>
    <w:p w:rsidR="003D6900" w:rsidRPr="00085BFC" w:rsidRDefault="003D6900" w:rsidP="003D6900">
      <w:pPr>
        <w:pStyle w:val="ListParagraph"/>
        <w:numPr>
          <w:ilvl w:val="0"/>
          <w:numId w:val="9"/>
        </w:numPr>
        <w:tabs>
          <w:tab w:val="left" w:pos="2043"/>
        </w:tabs>
        <w:autoSpaceDE w:val="0"/>
        <w:autoSpaceDN w:val="0"/>
        <w:adjustRightInd w:val="0"/>
        <w:spacing w:line="240" w:lineRule="auto"/>
        <w:ind w:right="430"/>
        <w:rPr>
          <w:rFonts w:ascii="Georgia" w:hAnsi="Georgia"/>
          <w:sz w:val="20"/>
          <w:szCs w:val="20"/>
          <w:lang w:val="en-US"/>
        </w:rPr>
      </w:pPr>
      <w:r w:rsidRPr="00085BFC">
        <w:rPr>
          <w:rFonts w:ascii="Georgia" w:hAnsi="Georgia"/>
          <w:sz w:val="20"/>
          <w:szCs w:val="20"/>
          <w:lang w:val="en-US"/>
        </w:rPr>
        <w:t>national GDP growth rates follow those projected by the IMF in the World Economic Outlook report and our World in 2050 projections</w:t>
      </w:r>
    </w:p>
    <w:p w:rsidR="003D6900" w:rsidRPr="00085BFC" w:rsidRDefault="003D6900" w:rsidP="003D6900">
      <w:pPr>
        <w:pStyle w:val="ListParagraph"/>
        <w:numPr>
          <w:ilvl w:val="0"/>
          <w:numId w:val="9"/>
        </w:numPr>
        <w:tabs>
          <w:tab w:val="left" w:pos="2043"/>
        </w:tabs>
        <w:autoSpaceDE w:val="0"/>
        <w:autoSpaceDN w:val="0"/>
        <w:adjustRightInd w:val="0"/>
        <w:spacing w:line="240" w:lineRule="auto"/>
        <w:ind w:right="430"/>
        <w:rPr>
          <w:rFonts w:ascii="Georgia" w:hAnsi="Georgia"/>
          <w:sz w:val="20"/>
          <w:szCs w:val="20"/>
          <w:lang w:val="en-US"/>
        </w:rPr>
      </w:pPr>
      <w:r w:rsidRPr="00085BFC">
        <w:rPr>
          <w:rFonts w:ascii="Georgia" w:hAnsi="Georgia"/>
          <w:sz w:val="20"/>
          <w:szCs w:val="20"/>
          <w:lang w:val="en-US"/>
        </w:rPr>
        <w:t>trade flows are based on merchandise export</w:t>
      </w:r>
      <w:r w:rsidR="00D17526">
        <w:rPr>
          <w:rFonts w:ascii="Georgia" w:hAnsi="Georgia"/>
          <w:sz w:val="20"/>
          <w:szCs w:val="20"/>
          <w:lang w:val="en-US"/>
        </w:rPr>
        <w:t>s</w:t>
      </w:r>
      <w:r w:rsidRPr="00085BFC">
        <w:rPr>
          <w:rFonts w:ascii="Georgia" w:hAnsi="Georgia"/>
          <w:sz w:val="20"/>
          <w:szCs w:val="20"/>
          <w:lang w:val="en-US"/>
        </w:rPr>
        <w:t xml:space="preserve"> to GDP ratios, which have been fixed at their long-term rates, and</w:t>
      </w:r>
    </w:p>
    <w:p w:rsidR="00D15A4D" w:rsidRDefault="003D6900" w:rsidP="00D15A4D">
      <w:pPr>
        <w:pStyle w:val="ListParagraph"/>
        <w:numPr>
          <w:ilvl w:val="0"/>
          <w:numId w:val="9"/>
        </w:numPr>
        <w:tabs>
          <w:tab w:val="left" w:pos="2043"/>
        </w:tabs>
        <w:autoSpaceDE w:val="0"/>
        <w:autoSpaceDN w:val="0"/>
        <w:adjustRightInd w:val="0"/>
        <w:spacing w:after="0" w:line="240" w:lineRule="auto"/>
        <w:ind w:left="714" w:right="431" w:hanging="357"/>
        <w:rPr>
          <w:rFonts w:ascii="Georgia" w:hAnsi="Georgia"/>
          <w:sz w:val="20"/>
          <w:szCs w:val="20"/>
          <w:lang w:val="en-US"/>
        </w:rPr>
      </w:pPr>
      <w:r w:rsidRPr="00085BFC">
        <w:rPr>
          <w:rFonts w:ascii="Georgia" w:hAnsi="Georgia"/>
          <w:sz w:val="20"/>
          <w:szCs w:val="20"/>
          <w:lang w:val="en-US"/>
        </w:rPr>
        <w:t xml:space="preserve">we project how the destination of each country’s exports is expected to evolve over the period using a weighted average of current and future demand, which is driven by GDP growth. </w:t>
      </w:r>
    </w:p>
    <w:p w:rsidR="00D15A4D" w:rsidRPr="00D15A4D" w:rsidRDefault="00D15A4D" w:rsidP="00D15A4D">
      <w:pPr>
        <w:pStyle w:val="ListParagraph"/>
        <w:tabs>
          <w:tab w:val="left" w:pos="2043"/>
        </w:tabs>
        <w:autoSpaceDE w:val="0"/>
        <w:autoSpaceDN w:val="0"/>
        <w:adjustRightInd w:val="0"/>
        <w:spacing w:after="0" w:line="240" w:lineRule="auto"/>
        <w:ind w:left="714" w:right="431"/>
        <w:rPr>
          <w:rFonts w:ascii="Georgia" w:hAnsi="Georgia"/>
          <w:sz w:val="20"/>
          <w:szCs w:val="20"/>
          <w:lang w:val="en-US"/>
        </w:rPr>
      </w:pPr>
    </w:p>
    <w:p w:rsidR="003D6900" w:rsidRPr="00085BFC" w:rsidRDefault="003D6900" w:rsidP="003D6900">
      <w:pPr>
        <w:tabs>
          <w:tab w:val="left" w:pos="2043"/>
        </w:tabs>
        <w:autoSpaceDE w:val="0"/>
        <w:autoSpaceDN w:val="0"/>
        <w:adjustRightInd w:val="0"/>
        <w:spacing w:line="240" w:lineRule="auto"/>
        <w:ind w:right="430"/>
        <w:rPr>
          <w:szCs w:val="20"/>
          <w:lang w:val="en-US"/>
        </w:rPr>
      </w:pPr>
      <w:r w:rsidRPr="00085BFC">
        <w:rPr>
          <w:szCs w:val="20"/>
          <w:lang w:val="en-US"/>
        </w:rPr>
        <w:t>Our analysis is restricted to 29 major economies selected on the basis of their present size (GDP) and the expected growth rate of their trade flows.</w:t>
      </w:r>
    </w:p>
    <w:p w:rsidR="003D6900" w:rsidRPr="00085BFC" w:rsidRDefault="003D6900" w:rsidP="003D6900">
      <w:pPr>
        <w:tabs>
          <w:tab w:val="left" w:pos="2043"/>
        </w:tabs>
        <w:autoSpaceDE w:val="0"/>
        <w:autoSpaceDN w:val="0"/>
        <w:adjustRightInd w:val="0"/>
        <w:spacing w:line="240" w:lineRule="auto"/>
        <w:ind w:right="430"/>
        <w:rPr>
          <w:szCs w:val="20"/>
          <w:lang w:val="en-US"/>
        </w:rPr>
      </w:pPr>
    </w:p>
    <w:p w:rsidR="003D6900" w:rsidRPr="00085BFC" w:rsidRDefault="003D6900" w:rsidP="003D6900">
      <w:pPr>
        <w:tabs>
          <w:tab w:val="left" w:pos="2043"/>
        </w:tabs>
        <w:autoSpaceDE w:val="0"/>
        <w:autoSpaceDN w:val="0"/>
        <w:adjustRightInd w:val="0"/>
        <w:spacing w:line="240" w:lineRule="auto"/>
        <w:ind w:right="430"/>
        <w:rPr>
          <w:color w:val="0000FF"/>
          <w:szCs w:val="20"/>
          <w:u w:val="single"/>
          <w:lang w:val="en-US"/>
        </w:rPr>
      </w:pPr>
      <w:r w:rsidRPr="00085BFC">
        <w:rPr>
          <w:szCs w:val="20"/>
          <w:lang w:val="en-US"/>
        </w:rPr>
        <w:t xml:space="preserve">The October edition of PwC’s </w:t>
      </w:r>
      <w:r w:rsidRPr="00085BFC">
        <w:rPr>
          <w:i/>
          <w:szCs w:val="20"/>
          <w:lang w:val="en-US"/>
        </w:rPr>
        <w:t>Global Economy Watch</w:t>
      </w:r>
      <w:r w:rsidRPr="00085BFC">
        <w:rPr>
          <w:szCs w:val="20"/>
          <w:lang w:val="en-US"/>
        </w:rPr>
        <w:t xml:space="preserve"> can be found at </w:t>
      </w:r>
      <w:hyperlink r:id="rId10" w:history="1">
        <w:r w:rsidRPr="00085BFC">
          <w:rPr>
            <w:rStyle w:val="Hyperlink"/>
            <w:szCs w:val="20"/>
            <w:lang w:val="en-US"/>
          </w:rPr>
          <w:t>www.pwc.com/gew</w:t>
        </w:r>
      </w:hyperlink>
    </w:p>
    <w:p w:rsidR="00540E97" w:rsidRPr="00085BFC" w:rsidRDefault="00540E97" w:rsidP="005E10F1">
      <w:pPr>
        <w:pStyle w:val="NormalWeb"/>
        <w:spacing w:before="0" w:beforeAutospacing="0" w:after="0" w:afterAutospacing="0"/>
        <w:ind w:right="430"/>
        <w:rPr>
          <w:rFonts w:ascii="Georgia" w:hAnsi="Georgia"/>
          <w:b/>
          <w:sz w:val="20"/>
          <w:szCs w:val="20"/>
        </w:rPr>
      </w:pPr>
    </w:p>
    <w:p w:rsidR="003D6900" w:rsidRPr="00085BFC" w:rsidRDefault="003D6900" w:rsidP="005E10F1">
      <w:pPr>
        <w:pStyle w:val="NormalWeb"/>
        <w:spacing w:before="0" w:beforeAutospacing="0" w:after="0" w:afterAutospacing="0"/>
        <w:ind w:right="430"/>
        <w:rPr>
          <w:rFonts w:ascii="Georgia" w:hAnsi="Georgia"/>
          <w:b/>
          <w:sz w:val="20"/>
          <w:szCs w:val="20"/>
        </w:rPr>
      </w:pPr>
    </w:p>
    <w:p w:rsidR="00540E97" w:rsidRPr="00085BFC" w:rsidRDefault="00540E97" w:rsidP="005E10F1">
      <w:pPr>
        <w:pStyle w:val="NormalWeb"/>
        <w:spacing w:before="0" w:beforeAutospacing="0" w:after="0" w:afterAutospacing="0"/>
        <w:ind w:right="430"/>
        <w:rPr>
          <w:rFonts w:ascii="Georgia" w:hAnsi="Georgia"/>
          <w:sz w:val="20"/>
          <w:szCs w:val="20"/>
        </w:rPr>
      </w:pPr>
      <w:r w:rsidRPr="00085BFC">
        <w:rPr>
          <w:rFonts w:ascii="Georgia" w:hAnsi="Georgia"/>
          <w:b/>
          <w:sz w:val="20"/>
          <w:szCs w:val="20"/>
        </w:rPr>
        <w:t xml:space="preserve">About PwC </w:t>
      </w:r>
    </w:p>
    <w:p w:rsidR="00540E97" w:rsidRPr="00085BFC" w:rsidRDefault="00540E97" w:rsidP="005E10F1">
      <w:pPr>
        <w:spacing w:line="240" w:lineRule="auto"/>
        <w:ind w:right="430"/>
        <w:rPr>
          <w:szCs w:val="20"/>
        </w:rPr>
      </w:pPr>
      <w:r w:rsidRPr="00085BFC">
        <w:rPr>
          <w:bCs/>
          <w:szCs w:val="20"/>
        </w:rPr>
        <w:t>P</w:t>
      </w:r>
      <w:r w:rsidRPr="00085BFC">
        <w:rPr>
          <w:szCs w:val="20"/>
        </w:rPr>
        <w:t xml:space="preserve">wC helps organisations and individuals create the value they’re looking for. We’re a network of firms in </w:t>
      </w:r>
      <w:r w:rsidR="003D6900" w:rsidRPr="00085BFC">
        <w:rPr>
          <w:szCs w:val="20"/>
        </w:rPr>
        <w:t xml:space="preserve">157 countries with more than </w:t>
      </w:r>
      <w:r w:rsidR="001D1376">
        <w:rPr>
          <w:szCs w:val="20"/>
        </w:rPr>
        <w:t>184</w:t>
      </w:r>
      <w:r w:rsidRPr="00085BFC">
        <w:rPr>
          <w:szCs w:val="20"/>
        </w:rPr>
        <w:t xml:space="preserve">,000 people who are committed to delivering quality in assurance, tax and advisory services. </w:t>
      </w:r>
      <w:r w:rsidR="003D6900" w:rsidRPr="00085BFC">
        <w:rPr>
          <w:szCs w:val="20"/>
        </w:rPr>
        <w:t>Find out more and t</w:t>
      </w:r>
      <w:r w:rsidRPr="00085BFC">
        <w:rPr>
          <w:szCs w:val="20"/>
        </w:rPr>
        <w:t xml:space="preserve">ell us what matters to you by visiting us at </w:t>
      </w:r>
      <w:hyperlink r:id="rId11" w:history="1">
        <w:r w:rsidRPr="00085BFC">
          <w:rPr>
            <w:rStyle w:val="Hyperlink"/>
            <w:szCs w:val="20"/>
          </w:rPr>
          <w:t>www.pwc.com</w:t>
        </w:r>
      </w:hyperlink>
      <w:r w:rsidRPr="00085BFC">
        <w:rPr>
          <w:szCs w:val="20"/>
        </w:rPr>
        <w:t>.</w:t>
      </w:r>
    </w:p>
    <w:p w:rsidR="00540E97" w:rsidRPr="00085BFC" w:rsidRDefault="00540E97" w:rsidP="005E10F1">
      <w:pPr>
        <w:pStyle w:val="NormalWeb"/>
        <w:ind w:right="430"/>
        <w:rPr>
          <w:rFonts w:ascii="Georgia" w:hAnsi="Georgia"/>
          <w:sz w:val="20"/>
          <w:szCs w:val="20"/>
          <w:lang w:val="en-GB"/>
        </w:rPr>
      </w:pPr>
      <w:r w:rsidRPr="00085BFC">
        <w:rPr>
          <w:rFonts w:ascii="Georgia" w:hAnsi="Georgia"/>
          <w:sz w:val="20"/>
          <w:szCs w:val="20"/>
          <w:lang w:val="en-GB"/>
        </w:rPr>
        <w:t xml:space="preserve">PwC refers to the PwC network and/or one or more of its member firms, each of which is a separate legal entity. Please see www.pwc.com/structure for further details. </w:t>
      </w:r>
    </w:p>
    <w:p w:rsidR="002D01FB" w:rsidRPr="00085BFC" w:rsidRDefault="00E067D5" w:rsidP="00901906">
      <w:pPr>
        <w:pStyle w:val="NormalWeb"/>
        <w:ind w:right="430"/>
        <w:rPr>
          <w:rFonts w:ascii="Georgia" w:hAnsi="Georgia"/>
          <w:b/>
          <w:sz w:val="20"/>
          <w:szCs w:val="20"/>
          <w:lang w:eastAsia="en-GB"/>
        </w:rPr>
      </w:pPr>
      <w:r w:rsidRPr="00085BFC">
        <w:rPr>
          <w:rFonts w:ascii="Georgia" w:hAnsi="Georgia" w:cs="Arial"/>
          <w:color w:val="000000"/>
          <w:sz w:val="20"/>
          <w:szCs w:val="20"/>
        </w:rPr>
        <w:t>©</w:t>
      </w:r>
      <w:r w:rsidR="00540E97" w:rsidRPr="00085BFC">
        <w:rPr>
          <w:rFonts w:ascii="Georgia" w:hAnsi="Georgia" w:cs="Arial"/>
          <w:color w:val="000000"/>
          <w:sz w:val="20"/>
          <w:szCs w:val="20"/>
        </w:rPr>
        <w:t>2014 PricewaterhouseCoopers. All rights reserved.</w:t>
      </w:r>
    </w:p>
    <w:sectPr w:rsidR="002D01FB" w:rsidRPr="00085BFC" w:rsidSect="001D1376">
      <w:headerReference w:type="even" r:id="rId12"/>
      <w:headerReference w:type="default" r:id="rId13"/>
      <w:footerReference w:type="even" r:id="rId14"/>
      <w:footerReference w:type="default" r:id="rId15"/>
      <w:headerReference w:type="first" r:id="rId16"/>
      <w:footerReference w:type="first" r:id="rId17"/>
      <w:pgSz w:w="11907" w:h="16839"/>
      <w:pgMar w:top="1440" w:right="1440" w:bottom="1440" w:left="1440"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928" w:rsidRDefault="00BA1928">
      <w:pPr>
        <w:spacing w:line="240" w:lineRule="auto"/>
      </w:pPr>
      <w:r>
        <w:separator/>
      </w:r>
    </w:p>
  </w:endnote>
  <w:endnote w:type="continuationSeparator" w:id="0">
    <w:p w:rsidR="00BA1928" w:rsidRDefault="00BA19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Dingbats">
    <w:panose1 w:val="0500060002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051186">
    <w:pPr>
      <w:pStyle w:val="Footer"/>
    </w:pPr>
    <w:r>
      <w:fldChar w:fldCharType="begin"/>
    </w:r>
    <w:r>
      <w:instrText xml:space="preserve"> PAGE  \* MERGEFORMAT </w:instrText>
    </w:r>
    <w:r>
      <w:fldChar w:fldCharType="separate"/>
    </w:r>
    <w:r w:rsidR="00C44792">
      <w:rPr>
        <w:noProof/>
      </w:rPr>
      <w:t>2</w:t>
    </w:r>
    <w:r>
      <w:rPr>
        <w:noProof/>
      </w:rPr>
      <w:fldChar w:fldCharType="end"/>
    </w:r>
    <w:r w:rsidR="003B31B9">
      <w:t xml:space="preserve"> of </w:t>
    </w:r>
    <w:r w:rsidR="00BA1928">
      <w:fldChar w:fldCharType="begin"/>
    </w:r>
    <w:r w:rsidR="00BA1928">
      <w:instrText xml:space="preserve"> NUMPAGES  \* MERGEFORMAT </w:instrText>
    </w:r>
    <w:r w:rsidR="00BA1928">
      <w:fldChar w:fldCharType="separate"/>
    </w:r>
    <w:r w:rsidR="00C44792">
      <w:rPr>
        <w:noProof/>
      </w:rPr>
      <w:t>3</w:t>
    </w:r>
    <w:r w:rsidR="00BA192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051186">
    <w:pPr>
      <w:pStyle w:val="Footer"/>
    </w:pPr>
    <w:r>
      <w:fldChar w:fldCharType="begin"/>
    </w:r>
    <w:r>
      <w:instrText xml:space="preserve"> PAGE  \* MERGEFORMAT </w:instrText>
    </w:r>
    <w:r>
      <w:fldChar w:fldCharType="separate"/>
    </w:r>
    <w:r w:rsidR="00C44792">
      <w:rPr>
        <w:noProof/>
      </w:rPr>
      <w:t>3</w:t>
    </w:r>
    <w:r>
      <w:rPr>
        <w:noProof/>
      </w:rPr>
      <w:fldChar w:fldCharType="end"/>
    </w:r>
    <w:r w:rsidR="003B31B9">
      <w:t xml:space="preserve"> of </w:t>
    </w:r>
    <w:r w:rsidR="00BA1928">
      <w:fldChar w:fldCharType="begin"/>
    </w:r>
    <w:r w:rsidR="00BA1928">
      <w:instrText xml:space="preserve"> NUMPAGES  \* MERGEFORMAT </w:instrText>
    </w:r>
    <w:r w:rsidR="00BA1928">
      <w:fldChar w:fldCharType="separate"/>
    </w:r>
    <w:r w:rsidR="00C44792">
      <w:rPr>
        <w:noProof/>
      </w:rPr>
      <w:t>3</w:t>
    </w:r>
    <w:r w:rsidR="00BA192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3B31B9">
    <w:pPr>
      <w:pStyle w:val="Address"/>
    </w:pPr>
    <w:bookmarkStart w:id="1" w:name="FirstPageFooter"/>
    <w:bookmarkEnd w:id="1"/>
    <w:r>
      <w:t>PricewaterhouseCoopers International, No 1 Embankment Place, London, WC2N 6RH</w:t>
    </w:r>
  </w:p>
  <w:p w:rsidR="00734D7A" w:rsidRDefault="003B31B9">
    <w:pPr>
      <w:pStyle w:val="Address"/>
    </w:pPr>
    <w:r>
      <w:t>Tel:  0207 583 5000, www.pwc.com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928" w:rsidRDefault="00BA1928">
      <w:pPr>
        <w:spacing w:line="240" w:lineRule="auto"/>
      </w:pPr>
      <w:r>
        <w:separator/>
      </w:r>
    </w:p>
  </w:footnote>
  <w:footnote w:type="continuationSeparator" w:id="0">
    <w:p w:rsidR="00BA1928" w:rsidRDefault="00BA19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3B31B9">
    <w:pPr>
      <w:pStyle w:val="Header"/>
    </w:pPr>
    <w:r>
      <w:rPr>
        <w:noProof/>
        <w:lang w:val="en-US"/>
      </w:rPr>
      <w:drawing>
        <wp:anchor distT="0" distB="0" distL="114300" distR="114300" simplePos="0" relativeHeight="251658752" behindDoc="0" locked="1" layoutInCell="1" allowOverlap="1" wp14:anchorId="1540AD3F" wp14:editId="6D42FDE2">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734D7A" w:rsidRDefault="00734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3B31B9">
    <w:pPr>
      <w:pStyle w:val="Header"/>
    </w:pPr>
    <w:r>
      <w:rPr>
        <w:noProof/>
        <w:lang w:val="en-US"/>
      </w:rPr>
      <w:drawing>
        <wp:anchor distT="0" distB="0" distL="114300" distR="114300" simplePos="0" relativeHeight="251657728" behindDoc="0" locked="1" layoutInCell="1" allowOverlap="1" wp14:anchorId="3E12C98D" wp14:editId="71CB0933">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734D7A" w:rsidRDefault="00734D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3B31B9">
    <w:pPr>
      <w:pStyle w:val="Header"/>
    </w:pPr>
    <w:r>
      <w:rPr>
        <w:noProof/>
        <w:lang w:val="en-US"/>
      </w:rPr>
      <w:drawing>
        <wp:anchor distT="0" distB="0" distL="114300" distR="114300" simplePos="0" relativeHeight="251656704" behindDoc="0" locked="1" layoutInCell="1" allowOverlap="1" wp14:anchorId="152CE7B6" wp14:editId="76C1E018">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430"/>
    <w:multiLevelType w:val="hybridMultilevel"/>
    <w:tmpl w:val="86980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4B3C08"/>
    <w:multiLevelType w:val="hybridMultilevel"/>
    <w:tmpl w:val="8692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EE4773"/>
    <w:multiLevelType w:val="hybridMultilevel"/>
    <w:tmpl w:val="8E94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520BDB"/>
    <w:multiLevelType w:val="hybridMultilevel"/>
    <w:tmpl w:val="078A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481C61"/>
    <w:multiLevelType w:val="hybridMultilevel"/>
    <w:tmpl w:val="D102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4147B7"/>
    <w:multiLevelType w:val="hybridMultilevel"/>
    <w:tmpl w:val="FDBE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F958C3"/>
    <w:multiLevelType w:val="hybridMultilevel"/>
    <w:tmpl w:val="CE3EB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366F7F"/>
    <w:multiLevelType w:val="hybridMultilevel"/>
    <w:tmpl w:val="6AE0A0F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771D5327"/>
    <w:multiLevelType w:val="hybridMultilevel"/>
    <w:tmpl w:val="70ECA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2"/>
  </w:num>
  <w:num w:numId="5">
    <w:abstractNumId w:val="8"/>
  </w:num>
  <w:num w:numId="6">
    <w:abstractNumId w:val="4"/>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D7A"/>
    <w:rsid w:val="0000623B"/>
    <w:rsid w:val="00007B3A"/>
    <w:rsid w:val="00017857"/>
    <w:rsid w:val="00051186"/>
    <w:rsid w:val="00054881"/>
    <w:rsid w:val="00085BFC"/>
    <w:rsid w:val="000C44D3"/>
    <w:rsid w:val="000D1C21"/>
    <w:rsid w:val="000E504D"/>
    <w:rsid w:val="000E5A02"/>
    <w:rsid w:val="000F3FA7"/>
    <w:rsid w:val="00146ABC"/>
    <w:rsid w:val="0016742F"/>
    <w:rsid w:val="00183EAA"/>
    <w:rsid w:val="00196C57"/>
    <w:rsid w:val="00196D17"/>
    <w:rsid w:val="001A6880"/>
    <w:rsid w:val="001B287E"/>
    <w:rsid w:val="001C61FB"/>
    <w:rsid w:val="001D1376"/>
    <w:rsid w:val="00213D01"/>
    <w:rsid w:val="00223511"/>
    <w:rsid w:val="00235A51"/>
    <w:rsid w:val="00260348"/>
    <w:rsid w:val="00260538"/>
    <w:rsid w:val="00270493"/>
    <w:rsid w:val="0027774E"/>
    <w:rsid w:val="00290F44"/>
    <w:rsid w:val="002949BD"/>
    <w:rsid w:val="00297219"/>
    <w:rsid w:val="002B33E4"/>
    <w:rsid w:val="002D01FB"/>
    <w:rsid w:val="003020C2"/>
    <w:rsid w:val="00305771"/>
    <w:rsid w:val="00310E2B"/>
    <w:rsid w:val="00335E5A"/>
    <w:rsid w:val="00341415"/>
    <w:rsid w:val="00345F31"/>
    <w:rsid w:val="00357772"/>
    <w:rsid w:val="0038785C"/>
    <w:rsid w:val="00392A33"/>
    <w:rsid w:val="003B31B9"/>
    <w:rsid w:val="003D5114"/>
    <w:rsid w:val="003D6900"/>
    <w:rsid w:val="003D6E63"/>
    <w:rsid w:val="003E6603"/>
    <w:rsid w:val="00431D62"/>
    <w:rsid w:val="00444540"/>
    <w:rsid w:val="004A07BD"/>
    <w:rsid w:val="004C14A4"/>
    <w:rsid w:val="004C32DE"/>
    <w:rsid w:val="004C5F36"/>
    <w:rsid w:val="004C6E4E"/>
    <w:rsid w:val="004F3942"/>
    <w:rsid w:val="00540E97"/>
    <w:rsid w:val="0056284F"/>
    <w:rsid w:val="00562B86"/>
    <w:rsid w:val="005A1160"/>
    <w:rsid w:val="005E10F1"/>
    <w:rsid w:val="005E2356"/>
    <w:rsid w:val="005F1B36"/>
    <w:rsid w:val="006030AF"/>
    <w:rsid w:val="0063694A"/>
    <w:rsid w:val="00636FB0"/>
    <w:rsid w:val="006455EA"/>
    <w:rsid w:val="00651063"/>
    <w:rsid w:val="006609DD"/>
    <w:rsid w:val="00663A9B"/>
    <w:rsid w:val="00682E7D"/>
    <w:rsid w:val="00701AF1"/>
    <w:rsid w:val="00702DB9"/>
    <w:rsid w:val="00714689"/>
    <w:rsid w:val="00722724"/>
    <w:rsid w:val="00734D7A"/>
    <w:rsid w:val="00786047"/>
    <w:rsid w:val="007A2FEF"/>
    <w:rsid w:val="00807466"/>
    <w:rsid w:val="008155FF"/>
    <w:rsid w:val="008263C1"/>
    <w:rsid w:val="00832C2A"/>
    <w:rsid w:val="0083618E"/>
    <w:rsid w:val="00875FA7"/>
    <w:rsid w:val="00895B21"/>
    <w:rsid w:val="008A7070"/>
    <w:rsid w:val="008B308F"/>
    <w:rsid w:val="008B5E0E"/>
    <w:rsid w:val="008E226A"/>
    <w:rsid w:val="00901906"/>
    <w:rsid w:val="009324FA"/>
    <w:rsid w:val="009C5FEA"/>
    <w:rsid w:val="009E37FE"/>
    <w:rsid w:val="00A02C7A"/>
    <w:rsid w:val="00A21514"/>
    <w:rsid w:val="00A21920"/>
    <w:rsid w:val="00A27B7D"/>
    <w:rsid w:val="00A5063F"/>
    <w:rsid w:val="00A757C2"/>
    <w:rsid w:val="00A80976"/>
    <w:rsid w:val="00B04BC3"/>
    <w:rsid w:val="00B05ECB"/>
    <w:rsid w:val="00B127DA"/>
    <w:rsid w:val="00B13C6E"/>
    <w:rsid w:val="00B36FC8"/>
    <w:rsid w:val="00B67D8E"/>
    <w:rsid w:val="00B95400"/>
    <w:rsid w:val="00BA1928"/>
    <w:rsid w:val="00BA7E20"/>
    <w:rsid w:val="00BD626D"/>
    <w:rsid w:val="00C44792"/>
    <w:rsid w:val="00C76C70"/>
    <w:rsid w:val="00C877C1"/>
    <w:rsid w:val="00CC3E4E"/>
    <w:rsid w:val="00CC6D53"/>
    <w:rsid w:val="00D0076A"/>
    <w:rsid w:val="00D112F7"/>
    <w:rsid w:val="00D15A4D"/>
    <w:rsid w:val="00D17526"/>
    <w:rsid w:val="00D23E90"/>
    <w:rsid w:val="00D516F9"/>
    <w:rsid w:val="00D669A2"/>
    <w:rsid w:val="00DB1535"/>
    <w:rsid w:val="00DC1F72"/>
    <w:rsid w:val="00E067D5"/>
    <w:rsid w:val="00E3511D"/>
    <w:rsid w:val="00E3795A"/>
    <w:rsid w:val="00E41233"/>
    <w:rsid w:val="00E470D7"/>
    <w:rsid w:val="00E536E3"/>
    <w:rsid w:val="00EB2380"/>
    <w:rsid w:val="00EE5CC0"/>
    <w:rsid w:val="00EE7A17"/>
    <w:rsid w:val="00F22F3A"/>
    <w:rsid w:val="00F562FD"/>
    <w:rsid w:val="00F768B8"/>
    <w:rsid w:val="00FA333B"/>
    <w:rsid w:val="00FB6BE5"/>
    <w:rsid w:val="00FE17E3"/>
    <w:rsid w:val="00FF3E39"/>
    <w:rsid w:val="00FF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7A"/>
    <w:pPr>
      <w:spacing w:line="240" w:lineRule="atLeast"/>
    </w:pPr>
    <w:rPr>
      <w:rFonts w:ascii="Georgia" w:hAnsi="Georgia"/>
      <w:sz w:val="20"/>
      <w:lang w:val="en-GB"/>
    </w:rPr>
  </w:style>
  <w:style w:type="paragraph" w:styleId="Heading1">
    <w:name w:val="heading 1"/>
    <w:basedOn w:val="Normal"/>
    <w:next w:val="Normal"/>
    <w:link w:val="Heading1Char"/>
    <w:uiPriority w:val="99"/>
    <w:qFormat/>
    <w:rsid w:val="00734D7A"/>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4D7A"/>
    <w:rPr>
      <w:rFonts w:ascii="Cambria" w:hAnsi="Cambria" w:cs="Times New Roman"/>
      <w:b/>
      <w:bCs/>
      <w:kern w:val="32"/>
      <w:sz w:val="32"/>
      <w:szCs w:val="32"/>
    </w:rPr>
  </w:style>
  <w:style w:type="paragraph" w:styleId="Header">
    <w:name w:val="header"/>
    <w:basedOn w:val="Normal"/>
    <w:link w:val="HeaderChar"/>
    <w:rsid w:val="00734D7A"/>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734D7A"/>
    <w:rPr>
      <w:rFonts w:cs="Times New Roman"/>
    </w:rPr>
  </w:style>
  <w:style w:type="paragraph" w:styleId="Footer">
    <w:name w:val="footer"/>
    <w:basedOn w:val="Normal"/>
    <w:link w:val="FooterChar"/>
    <w:uiPriority w:val="99"/>
    <w:semiHidden/>
    <w:rsid w:val="00734D7A"/>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734D7A"/>
    <w:rPr>
      <w:rFonts w:cs="Times New Roman"/>
    </w:rPr>
  </w:style>
  <w:style w:type="paragraph" w:styleId="BodyText">
    <w:name w:val="Body Text"/>
    <w:basedOn w:val="Normal"/>
    <w:link w:val="BodyTextChar"/>
    <w:uiPriority w:val="99"/>
    <w:rsid w:val="00734D7A"/>
    <w:pPr>
      <w:spacing w:after="240"/>
    </w:pPr>
  </w:style>
  <w:style w:type="character" w:customStyle="1" w:styleId="BodyTextChar">
    <w:name w:val="Body Text Char"/>
    <w:basedOn w:val="DefaultParagraphFont"/>
    <w:link w:val="BodyText"/>
    <w:uiPriority w:val="99"/>
    <w:locked/>
    <w:rsid w:val="00734D7A"/>
    <w:rPr>
      <w:rFonts w:ascii="Georgia" w:hAnsi="Georgia" w:cs="Times New Roman"/>
      <w:sz w:val="20"/>
    </w:rPr>
  </w:style>
  <w:style w:type="paragraph" w:styleId="Title">
    <w:name w:val="Title"/>
    <w:basedOn w:val="Normal"/>
    <w:next w:val="Normal"/>
    <w:link w:val="TitleChar"/>
    <w:uiPriority w:val="99"/>
    <w:qFormat/>
    <w:rsid w:val="00734D7A"/>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734D7A"/>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734D7A"/>
    <w:pPr>
      <w:spacing w:line="200" w:lineRule="atLeast"/>
    </w:pPr>
    <w:rPr>
      <w:i/>
      <w:sz w:val="18"/>
    </w:rPr>
  </w:style>
  <w:style w:type="character" w:customStyle="1" w:styleId="AddressChar">
    <w:name w:val="Address Char"/>
    <w:basedOn w:val="DefaultParagraphFont"/>
    <w:link w:val="Address"/>
    <w:uiPriority w:val="99"/>
    <w:locked/>
    <w:rsid w:val="00734D7A"/>
    <w:rPr>
      <w:rFonts w:ascii="Georgia" w:hAnsi="Georgia" w:cs="Times New Roman"/>
      <w:i/>
      <w:sz w:val="18"/>
    </w:rPr>
  </w:style>
  <w:style w:type="paragraph" w:customStyle="1" w:styleId="Disclaimer">
    <w:name w:val="Disclaimer"/>
    <w:basedOn w:val="Normal"/>
    <w:link w:val="DisclaimerChar"/>
    <w:uiPriority w:val="99"/>
    <w:rsid w:val="00734D7A"/>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734D7A"/>
    <w:rPr>
      <w:rFonts w:ascii="Arial" w:hAnsi="Arial" w:cs="Arial"/>
      <w:sz w:val="12"/>
    </w:rPr>
  </w:style>
  <w:style w:type="paragraph" w:styleId="BalloonText">
    <w:name w:val="Balloon Text"/>
    <w:basedOn w:val="Normal"/>
    <w:link w:val="BalloonTextChar"/>
    <w:uiPriority w:val="99"/>
    <w:semiHidden/>
    <w:rsid w:val="00734D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D7A"/>
    <w:rPr>
      <w:rFonts w:ascii="Tahoma" w:hAnsi="Tahoma" w:cs="Tahoma"/>
      <w:sz w:val="16"/>
      <w:szCs w:val="16"/>
      <w:lang w:eastAsia="en-US"/>
    </w:rPr>
  </w:style>
  <w:style w:type="character" w:styleId="Hyperlink">
    <w:name w:val="Hyperlink"/>
    <w:basedOn w:val="DefaultParagraphFont"/>
    <w:uiPriority w:val="99"/>
    <w:rsid w:val="00734D7A"/>
    <w:rPr>
      <w:rFonts w:cs="Times New Roman"/>
      <w:color w:val="0000FF"/>
      <w:u w:val="single"/>
    </w:rPr>
  </w:style>
  <w:style w:type="paragraph" w:styleId="NormalWeb">
    <w:name w:val="Normal (Web)"/>
    <w:basedOn w:val="Normal"/>
    <w:uiPriority w:val="99"/>
    <w:unhideWhenUsed/>
    <w:rsid w:val="00734D7A"/>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locked/>
    <w:rsid w:val="00734D7A"/>
    <w:rPr>
      <w:b/>
      <w:bCs/>
    </w:rPr>
  </w:style>
  <w:style w:type="paragraph" w:styleId="BodyText3">
    <w:name w:val="Body Text 3"/>
    <w:basedOn w:val="Normal"/>
    <w:link w:val="BodyText3Char"/>
    <w:uiPriority w:val="99"/>
    <w:unhideWhenUsed/>
    <w:rsid w:val="00734D7A"/>
    <w:pPr>
      <w:spacing w:after="120"/>
    </w:pPr>
    <w:rPr>
      <w:sz w:val="16"/>
      <w:szCs w:val="16"/>
    </w:rPr>
  </w:style>
  <w:style w:type="character" w:customStyle="1" w:styleId="BodyText3Char">
    <w:name w:val="Body Text 3 Char"/>
    <w:basedOn w:val="DefaultParagraphFont"/>
    <w:link w:val="BodyText3"/>
    <w:uiPriority w:val="99"/>
    <w:rsid w:val="00734D7A"/>
    <w:rPr>
      <w:rFonts w:ascii="Georgia" w:hAnsi="Georgia"/>
      <w:sz w:val="16"/>
      <w:szCs w:val="16"/>
      <w:lang w:val="en-GB"/>
    </w:rPr>
  </w:style>
  <w:style w:type="paragraph" w:customStyle="1" w:styleId="ReleaseBodyText">
    <w:name w:val="Release Body Text"/>
    <w:rsid w:val="002D01FB"/>
    <w:rPr>
      <w:rFonts w:ascii="Arial" w:eastAsia="Times New Roman" w:hAnsi="Arial" w:cs="Arial"/>
      <w:sz w:val="20"/>
      <w:szCs w:val="20"/>
      <w:lang w:val="en-GB"/>
    </w:rPr>
  </w:style>
  <w:style w:type="paragraph" w:styleId="ListParagraph">
    <w:name w:val="List Paragraph"/>
    <w:basedOn w:val="Normal"/>
    <w:uiPriority w:val="34"/>
    <w:unhideWhenUsed/>
    <w:qFormat/>
    <w:rsid w:val="00D669A2"/>
    <w:pPr>
      <w:spacing w:after="240"/>
      <w:ind w:left="720"/>
      <w:contextualSpacing/>
    </w:pPr>
    <w:rPr>
      <w:rFonts w:ascii="Calibri" w:eastAsia="Times New Roman" w:hAnsi="Calibri"/>
      <w:color w:val="000000"/>
      <w:sz w:val="21"/>
      <w:szCs w:val="21"/>
      <w:lang w:eastAsia="zh-CN"/>
    </w:rPr>
  </w:style>
  <w:style w:type="paragraph" w:styleId="Revision">
    <w:name w:val="Revision"/>
    <w:hidden/>
    <w:uiPriority w:val="99"/>
    <w:semiHidden/>
    <w:rsid w:val="00392A33"/>
    <w:rPr>
      <w:rFonts w:ascii="Georgia" w:hAnsi="Georgia"/>
      <w:sz w:val="20"/>
      <w:lang w:val="en-GB"/>
    </w:rPr>
  </w:style>
  <w:style w:type="character" w:styleId="FollowedHyperlink">
    <w:name w:val="FollowedHyperlink"/>
    <w:basedOn w:val="DefaultParagraphFont"/>
    <w:uiPriority w:val="99"/>
    <w:semiHidden/>
    <w:unhideWhenUsed/>
    <w:rsid w:val="003E66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7A"/>
    <w:pPr>
      <w:spacing w:line="240" w:lineRule="atLeast"/>
    </w:pPr>
    <w:rPr>
      <w:rFonts w:ascii="Georgia" w:hAnsi="Georgia"/>
      <w:sz w:val="20"/>
      <w:lang w:val="en-GB"/>
    </w:rPr>
  </w:style>
  <w:style w:type="paragraph" w:styleId="Heading1">
    <w:name w:val="heading 1"/>
    <w:basedOn w:val="Normal"/>
    <w:next w:val="Normal"/>
    <w:link w:val="Heading1Char"/>
    <w:uiPriority w:val="99"/>
    <w:qFormat/>
    <w:rsid w:val="00734D7A"/>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4D7A"/>
    <w:rPr>
      <w:rFonts w:ascii="Cambria" w:hAnsi="Cambria" w:cs="Times New Roman"/>
      <w:b/>
      <w:bCs/>
      <w:kern w:val="32"/>
      <w:sz w:val="32"/>
      <w:szCs w:val="32"/>
    </w:rPr>
  </w:style>
  <w:style w:type="paragraph" w:styleId="Header">
    <w:name w:val="header"/>
    <w:basedOn w:val="Normal"/>
    <w:link w:val="HeaderChar"/>
    <w:rsid w:val="00734D7A"/>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734D7A"/>
    <w:rPr>
      <w:rFonts w:cs="Times New Roman"/>
    </w:rPr>
  </w:style>
  <w:style w:type="paragraph" w:styleId="Footer">
    <w:name w:val="footer"/>
    <w:basedOn w:val="Normal"/>
    <w:link w:val="FooterChar"/>
    <w:uiPriority w:val="99"/>
    <w:semiHidden/>
    <w:rsid w:val="00734D7A"/>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734D7A"/>
    <w:rPr>
      <w:rFonts w:cs="Times New Roman"/>
    </w:rPr>
  </w:style>
  <w:style w:type="paragraph" w:styleId="BodyText">
    <w:name w:val="Body Text"/>
    <w:basedOn w:val="Normal"/>
    <w:link w:val="BodyTextChar"/>
    <w:uiPriority w:val="99"/>
    <w:rsid w:val="00734D7A"/>
    <w:pPr>
      <w:spacing w:after="240"/>
    </w:pPr>
  </w:style>
  <w:style w:type="character" w:customStyle="1" w:styleId="BodyTextChar">
    <w:name w:val="Body Text Char"/>
    <w:basedOn w:val="DefaultParagraphFont"/>
    <w:link w:val="BodyText"/>
    <w:uiPriority w:val="99"/>
    <w:locked/>
    <w:rsid w:val="00734D7A"/>
    <w:rPr>
      <w:rFonts w:ascii="Georgia" w:hAnsi="Georgia" w:cs="Times New Roman"/>
      <w:sz w:val="20"/>
    </w:rPr>
  </w:style>
  <w:style w:type="paragraph" w:styleId="Title">
    <w:name w:val="Title"/>
    <w:basedOn w:val="Normal"/>
    <w:next w:val="Normal"/>
    <w:link w:val="TitleChar"/>
    <w:uiPriority w:val="99"/>
    <w:qFormat/>
    <w:rsid w:val="00734D7A"/>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734D7A"/>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734D7A"/>
    <w:pPr>
      <w:spacing w:line="200" w:lineRule="atLeast"/>
    </w:pPr>
    <w:rPr>
      <w:i/>
      <w:sz w:val="18"/>
    </w:rPr>
  </w:style>
  <w:style w:type="character" w:customStyle="1" w:styleId="AddressChar">
    <w:name w:val="Address Char"/>
    <w:basedOn w:val="DefaultParagraphFont"/>
    <w:link w:val="Address"/>
    <w:uiPriority w:val="99"/>
    <w:locked/>
    <w:rsid w:val="00734D7A"/>
    <w:rPr>
      <w:rFonts w:ascii="Georgia" w:hAnsi="Georgia" w:cs="Times New Roman"/>
      <w:i/>
      <w:sz w:val="18"/>
    </w:rPr>
  </w:style>
  <w:style w:type="paragraph" w:customStyle="1" w:styleId="Disclaimer">
    <w:name w:val="Disclaimer"/>
    <w:basedOn w:val="Normal"/>
    <w:link w:val="DisclaimerChar"/>
    <w:uiPriority w:val="99"/>
    <w:rsid w:val="00734D7A"/>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734D7A"/>
    <w:rPr>
      <w:rFonts w:ascii="Arial" w:hAnsi="Arial" w:cs="Arial"/>
      <w:sz w:val="12"/>
    </w:rPr>
  </w:style>
  <w:style w:type="paragraph" w:styleId="BalloonText">
    <w:name w:val="Balloon Text"/>
    <w:basedOn w:val="Normal"/>
    <w:link w:val="BalloonTextChar"/>
    <w:uiPriority w:val="99"/>
    <w:semiHidden/>
    <w:rsid w:val="00734D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D7A"/>
    <w:rPr>
      <w:rFonts w:ascii="Tahoma" w:hAnsi="Tahoma" w:cs="Tahoma"/>
      <w:sz w:val="16"/>
      <w:szCs w:val="16"/>
      <w:lang w:eastAsia="en-US"/>
    </w:rPr>
  </w:style>
  <w:style w:type="character" w:styleId="Hyperlink">
    <w:name w:val="Hyperlink"/>
    <w:basedOn w:val="DefaultParagraphFont"/>
    <w:uiPriority w:val="99"/>
    <w:rsid w:val="00734D7A"/>
    <w:rPr>
      <w:rFonts w:cs="Times New Roman"/>
      <w:color w:val="0000FF"/>
      <w:u w:val="single"/>
    </w:rPr>
  </w:style>
  <w:style w:type="paragraph" w:styleId="NormalWeb">
    <w:name w:val="Normal (Web)"/>
    <w:basedOn w:val="Normal"/>
    <w:uiPriority w:val="99"/>
    <w:unhideWhenUsed/>
    <w:rsid w:val="00734D7A"/>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locked/>
    <w:rsid w:val="00734D7A"/>
    <w:rPr>
      <w:b/>
      <w:bCs/>
    </w:rPr>
  </w:style>
  <w:style w:type="paragraph" w:styleId="BodyText3">
    <w:name w:val="Body Text 3"/>
    <w:basedOn w:val="Normal"/>
    <w:link w:val="BodyText3Char"/>
    <w:uiPriority w:val="99"/>
    <w:unhideWhenUsed/>
    <w:rsid w:val="00734D7A"/>
    <w:pPr>
      <w:spacing w:after="120"/>
    </w:pPr>
    <w:rPr>
      <w:sz w:val="16"/>
      <w:szCs w:val="16"/>
    </w:rPr>
  </w:style>
  <w:style w:type="character" w:customStyle="1" w:styleId="BodyText3Char">
    <w:name w:val="Body Text 3 Char"/>
    <w:basedOn w:val="DefaultParagraphFont"/>
    <w:link w:val="BodyText3"/>
    <w:uiPriority w:val="99"/>
    <w:rsid w:val="00734D7A"/>
    <w:rPr>
      <w:rFonts w:ascii="Georgia" w:hAnsi="Georgia"/>
      <w:sz w:val="16"/>
      <w:szCs w:val="16"/>
      <w:lang w:val="en-GB"/>
    </w:rPr>
  </w:style>
  <w:style w:type="paragraph" w:customStyle="1" w:styleId="ReleaseBodyText">
    <w:name w:val="Release Body Text"/>
    <w:rsid w:val="002D01FB"/>
    <w:rPr>
      <w:rFonts w:ascii="Arial" w:eastAsia="Times New Roman" w:hAnsi="Arial" w:cs="Arial"/>
      <w:sz w:val="20"/>
      <w:szCs w:val="20"/>
      <w:lang w:val="en-GB"/>
    </w:rPr>
  </w:style>
  <w:style w:type="paragraph" w:styleId="ListParagraph">
    <w:name w:val="List Paragraph"/>
    <w:basedOn w:val="Normal"/>
    <w:uiPriority w:val="34"/>
    <w:unhideWhenUsed/>
    <w:qFormat/>
    <w:rsid w:val="00D669A2"/>
    <w:pPr>
      <w:spacing w:after="240"/>
      <w:ind w:left="720"/>
      <w:contextualSpacing/>
    </w:pPr>
    <w:rPr>
      <w:rFonts w:ascii="Calibri" w:eastAsia="Times New Roman" w:hAnsi="Calibri"/>
      <w:color w:val="000000"/>
      <w:sz w:val="21"/>
      <w:szCs w:val="21"/>
      <w:lang w:eastAsia="zh-CN"/>
    </w:rPr>
  </w:style>
  <w:style w:type="paragraph" w:styleId="Revision">
    <w:name w:val="Revision"/>
    <w:hidden/>
    <w:uiPriority w:val="99"/>
    <w:semiHidden/>
    <w:rsid w:val="00392A33"/>
    <w:rPr>
      <w:rFonts w:ascii="Georgia" w:hAnsi="Georgia"/>
      <w:sz w:val="20"/>
      <w:lang w:val="en-GB"/>
    </w:rPr>
  </w:style>
  <w:style w:type="character" w:styleId="FollowedHyperlink">
    <w:name w:val="FollowedHyperlink"/>
    <w:basedOn w:val="DefaultParagraphFont"/>
    <w:uiPriority w:val="99"/>
    <w:semiHidden/>
    <w:unhideWhenUsed/>
    <w:rsid w:val="003E66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6645">
      <w:bodyDiv w:val="1"/>
      <w:marLeft w:val="0"/>
      <w:marRight w:val="0"/>
      <w:marTop w:val="0"/>
      <w:marBottom w:val="0"/>
      <w:divBdr>
        <w:top w:val="none" w:sz="0" w:space="0" w:color="auto"/>
        <w:left w:val="none" w:sz="0" w:space="0" w:color="auto"/>
        <w:bottom w:val="none" w:sz="0" w:space="0" w:color="auto"/>
        <w:right w:val="none" w:sz="0" w:space="0" w:color="auto"/>
      </w:divBdr>
    </w:div>
    <w:div w:id="237903304">
      <w:bodyDiv w:val="1"/>
      <w:marLeft w:val="0"/>
      <w:marRight w:val="0"/>
      <w:marTop w:val="0"/>
      <w:marBottom w:val="0"/>
      <w:divBdr>
        <w:top w:val="none" w:sz="0" w:space="0" w:color="auto"/>
        <w:left w:val="none" w:sz="0" w:space="0" w:color="auto"/>
        <w:bottom w:val="none" w:sz="0" w:space="0" w:color="auto"/>
        <w:right w:val="none" w:sz="0" w:space="0" w:color="auto"/>
      </w:divBdr>
    </w:div>
    <w:div w:id="247080283">
      <w:bodyDiv w:val="1"/>
      <w:marLeft w:val="0"/>
      <w:marRight w:val="0"/>
      <w:marTop w:val="0"/>
      <w:marBottom w:val="0"/>
      <w:divBdr>
        <w:top w:val="none" w:sz="0" w:space="0" w:color="auto"/>
        <w:left w:val="none" w:sz="0" w:space="0" w:color="auto"/>
        <w:bottom w:val="none" w:sz="0" w:space="0" w:color="auto"/>
        <w:right w:val="none" w:sz="0" w:space="0" w:color="auto"/>
      </w:divBdr>
    </w:div>
    <w:div w:id="1125468515">
      <w:bodyDiv w:val="1"/>
      <w:marLeft w:val="0"/>
      <w:marRight w:val="0"/>
      <w:marTop w:val="0"/>
      <w:marBottom w:val="0"/>
      <w:divBdr>
        <w:top w:val="none" w:sz="0" w:space="0" w:color="auto"/>
        <w:left w:val="none" w:sz="0" w:space="0" w:color="auto"/>
        <w:bottom w:val="none" w:sz="0" w:space="0" w:color="auto"/>
        <w:right w:val="none" w:sz="0" w:space="0" w:color="auto"/>
      </w:divBdr>
    </w:div>
    <w:div w:id="1134642684">
      <w:bodyDiv w:val="1"/>
      <w:marLeft w:val="0"/>
      <w:marRight w:val="0"/>
      <w:marTop w:val="0"/>
      <w:marBottom w:val="0"/>
      <w:divBdr>
        <w:top w:val="none" w:sz="0" w:space="0" w:color="auto"/>
        <w:left w:val="none" w:sz="0" w:space="0" w:color="auto"/>
        <w:bottom w:val="none" w:sz="0" w:space="0" w:color="auto"/>
        <w:right w:val="none" w:sz="0" w:space="0" w:color="auto"/>
      </w:divBdr>
      <w:divsChild>
        <w:div w:id="918906025">
          <w:marLeft w:val="0"/>
          <w:marRight w:val="0"/>
          <w:marTop w:val="0"/>
          <w:marBottom w:val="0"/>
          <w:divBdr>
            <w:top w:val="none" w:sz="0" w:space="0" w:color="auto"/>
            <w:left w:val="none" w:sz="0" w:space="0" w:color="auto"/>
            <w:bottom w:val="none" w:sz="0" w:space="0" w:color="auto"/>
            <w:right w:val="none" w:sz="0" w:space="0" w:color="auto"/>
          </w:divBdr>
          <w:divsChild>
            <w:div w:id="1830974493">
              <w:marLeft w:val="0"/>
              <w:marRight w:val="0"/>
              <w:marTop w:val="0"/>
              <w:marBottom w:val="0"/>
              <w:divBdr>
                <w:top w:val="none" w:sz="0" w:space="0" w:color="auto"/>
                <w:left w:val="none" w:sz="0" w:space="0" w:color="auto"/>
                <w:bottom w:val="none" w:sz="0" w:space="0" w:color="auto"/>
                <w:right w:val="none" w:sz="0" w:space="0" w:color="auto"/>
              </w:divBdr>
              <w:divsChild>
                <w:div w:id="1029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570394">
      <w:bodyDiv w:val="1"/>
      <w:marLeft w:val="0"/>
      <w:marRight w:val="0"/>
      <w:marTop w:val="0"/>
      <w:marBottom w:val="0"/>
      <w:divBdr>
        <w:top w:val="none" w:sz="0" w:space="0" w:color="auto"/>
        <w:left w:val="none" w:sz="0" w:space="0" w:color="auto"/>
        <w:bottom w:val="none" w:sz="0" w:space="0" w:color="auto"/>
        <w:right w:val="none" w:sz="0" w:space="0" w:color="auto"/>
      </w:divBdr>
    </w:div>
    <w:div w:id="1647977672">
      <w:bodyDiv w:val="1"/>
      <w:marLeft w:val="0"/>
      <w:marRight w:val="0"/>
      <w:marTop w:val="0"/>
      <w:marBottom w:val="0"/>
      <w:divBdr>
        <w:top w:val="none" w:sz="0" w:space="0" w:color="auto"/>
        <w:left w:val="none" w:sz="0" w:space="0" w:color="auto"/>
        <w:bottom w:val="none" w:sz="0" w:space="0" w:color="auto"/>
        <w:right w:val="none" w:sz="0" w:space="0" w:color="auto"/>
      </w:divBdr>
    </w:div>
    <w:div w:id="1742753622">
      <w:bodyDiv w:val="1"/>
      <w:marLeft w:val="0"/>
      <w:marRight w:val="0"/>
      <w:marTop w:val="0"/>
      <w:marBottom w:val="0"/>
      <w:divBdr>
        <w:top w:val="none" w:sz="0" w:space="0" w:color="auto"/>
        <w:left w:val="none" w:sz="0" w:space="0" w:color="auto"/>
        <w:bottom w:val="none" w:sz="0" w:space="0" w:color="auto"/>
        <w:right w:val="none" w:sz="0" w:space="0" w:color="auto"/>
      </w:divBdr>
    </w:div>
    <w:div w:id="1906598622">
      <w:bodyDiv w:val="1"/>
      <w:marLeft w:val="0"/>
      <w:marRight w:val="0"/>
      <w:marTop w:val="0"/>
      <w:marBottom w:val="0"/>
      <w:divBdr>
        <w:top w:val="none" w:sz="0" w:space="0" w:color="auto"/>
        <w:left w:val="none" w:sz="0" w:space="0" w:color="auto"/>
        <w:bottom w:val="none" w:sz="0" w:space="0" w:color="auto"/>
        <w:right w:val="none" w:sz="0" w:space="0" w:color="auto"/>
      </w:divBdr>
    </w:div>
    <w:div w:id="1907911872">
      <w:bodyDiv w:val="1"/>
      <w:marLeft w:val="0"/>
      <w:marRight w:val="0"/>
      <w:marTop w:val="0"/>
      <w:marBottom w:val="0"/>
      <w:divBdr>
        <w:top w:val="none" w:sz="0" w:space="0" w:color="auto"/>
        <w:left w:val="none" w:sz="0" w:space="0" w:color="auto"/>
        <w:bottom w:val="none" w:sz="0" w:space="0" w:color="auto"/>
        <w:right w:val="none" w:sz="0" w:space="0" w:color="auto"/>
      </w:divBdr>
    </w:div>
    <w:div w:id="203850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wc.com/g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wc.com/ge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Sheet1!$C$4</c:f>
              <c:strCache>
                <c:ptCount val="1"/>
                <c:pt idx="0">
                  <c:v>Jan-14</c:v>
                </c:pt>
              </c:strCache>
            </c:strRef>
          </c:tx>
          <c:invertIfNegative val="0"/>
          <c:cat>
            <c:strRef>
              <c:f>Sheet1!$B$6:$B$10</c:f>
              <c:strCache>
                <c:ptCount val="5"/>
                <c:pt idx="0">
                  <c:v>Global (PPP)</c:v>
                </c:pt>
                <c:pt idx="1">
                  <c:v>Global (MER)</c:v>
                </c:pt>
                <c:pt idx="2">
                  <c:v>US</c:v>
                </c:pt>
                <c:pt idx="3">
                  <c:v>Japan</c:v>
                </c:pt>
                <c:pt idx="4">
                  <c:v>Eurozone</c:v>
                </c:pt>
              </c:strCache>
            </c:strRef>
          </c:cat>
          <c:val>
            <c:numRef>
              <c:f>Sheet1!$C$6:$C$10</c:f>
              <c:numCache>
                <c:formatCode>General</c:formatCode>
                <c:ptCount val="5"/>
                <c:pt idx="0">
                  <c:v>3.5</c:v>
                </c:pt>
                <c:pt idx="1">
                  <c:v>3.1</c:v>
                </c:pt>
                <c:pt idx="2">
                  <c:v>2.7</c:v>
                </c:pt>
                <c:pt idx="3">
                  <c:v>1.6</c:v>
                </c:pt>
                <c:pt idx="4">
                  <c:v>0.8</c:v>
                </c:pt>
              </c:numCache>
            </c:numRef>
          </c:val>
        </c:ser>
        <c:ser>
          <c:idx val="1"/>
          <c:order val="1"/>
          <c:tx>
            <c:strRef>
              <c:f>Sheet1!$D$4</c:f>
              <c:strCache>
                <c:ptCount val="1"/>
                <c:pt idx="0">
                  <c:v>Oct-14</c:v>
                </c:pt>
              </c:strCache>
            </c:strRef>
          </c:tx>
          <c:spPr>
            <a:solidFill>
              <a:schemeClr val="accent6"/>
            </a:solidFill>
          </c:spPr>
          <c:invertIfNegative val="0"/>
          <c:cat>
            <c:strRef>
              <c:f>Sheet1!$B$6:$B$10</c:f>
              <c:strCache>
                <c:ptCount val="5"/>
                <c:pt idx="0">
                  <c:v>Global (PPP)</c:v>
                </c:pt>
                <c:pt idx="1">
                  <c:v>Global (MER)</c:v>
                </c:pt>
                <c:pt idx="2">
                  <c:v>US</c:v>
                </c:pt>
                <c:pt idx="3">
                  <c:v>Japan</c:v>
                </c:pt>
                <c:pt idx="4">
                  <c:v>Eurozone</c:v>
                </c:pt>
              </c:strCache>
            </c:strRef>
          </c:cat>
          <c:val>
            <c:numRef>
              <c:f>Sheet1!$D$6:$D$10</c:f>
              <c:numCache>
                <c:formatCode>General</c:formatCode>
                <c:ptCount val="5"/>
                <c:pt idx="0">
                  <c:v>3.1</c:v>
                </c:pt>
                <c:pt idx="1">
                  <c:v>2.7</c:v>
                </c:pt>
                <c:pt idx="2">
                  <c:v>2.1</c:v>
                </c:pt>
                <c:pt idx="3">
                  <c:v>1.3</c:v>
                </c:pt>
                <c:pt idx="4">
                  <c:v>0.8</c:v>
                </c:pt>
              </c:numCache>
            </c:numRef>
          </c:val>
        </c:ser>
        <c:dLbls>
          <c:showLegendKey val="0"/>
          <c:showVal val="0"/>
          <c:showCatName val="0"/>
          <c:showSerName val="0"/>
          <c:showPercent val="0"/>
          <c:showBubbleSize val="0"/>
        </c:dLbls>
        <c:gapWidth val="150"/>
        <c:axId val="157342336"/>
        <c:axId val="79132544"/>
      </c:barChart>
      <c:catAx>
        <c:axId val="157342336"/>
        <c:scaling>
          <c:orientation val="minMax"/>
        </c:scaling>
        <c:delete val="0"/>
        <c:axPos val="b"/>
        <c:majorTickMark val="out"/>
        <c:minorTickMark val="none"/>
        <c:tickLblPos val="nextTo"/>
        <c:txPr>
          <a:bodyPr/>
          <a:lstStyle/>
          <a:p>
            <a:pPr>
              <a:defRPr sz="700"/>
            </a:pPr>
            <a:endParaRPr lang="en-US"/>
          </a:p>
        </c:txPr>
        <c:crossAx val="79132544"/>
        <c:crosses val="autoZero"/>
        <c:auto val="1"/>
        <c:lblAlgn val="ctr"/>
        <c:lblOffset val="100"/>
        <c:noMultiLvlLbl val="0"/>
      </c:catAx>
      <c:valAx>
        <c:axId val="79132544"/>
        <c:scaling>
          <c:orientation val="minMax"/>
        </c:scaling>
        <c:delete val="0"/>
        <c:axPos val="l"/>
        <c:title>
          <c:tx>
            <c:rich>
              <a:bodyPr rot="-5400000" vert="horz"/>
              <a:lstStyle/>
              <a:p>
                <a:pPr>
                  <a:defRPr sz="700"/>
                </a:pPr>
                <a:r>
                  <a:rPr lang="en-GB" sz="700" dirty="0"/>
                  <a:t>2014 </a:t>
                </a:r>
                <a:r>
                  <a:rPr lang="en-GB" sz="700" dirty="0" smtClean="0"/>
                  <a:t>real GDP growth </a:t>
                </a:r>
                <a:r>
                  <a:rPr lang="en-GB" sz="700" dirty="0"/>
                  <a:t>projection (%)</a:t>
                </a:r>
              </a:p>
            </c:rich>
          </c:tx>
          <c:layout>
            <c:manualLayout>
              <c:xMode val="edge"/>
              <c:yMode val="edge"/>
              <c:x val="3.4188243355684989E-2"/>
              <c:y val="9.7958086125614866E-2"/>
            </c:manualLayout>
          </c:layout>
          <c:overlay val="0"/>
        </c:title>
        <c:numFmt formatCode="#,##0.0" sourceLinked="0"/>
        <c:majorTickMark val="out"/>
        <c:minorTickMark val="none"/>
        <c:tickLblPos val="nextTo"/>
        <c:txPr>
          <a:bodyPr/>
          <a:lstStyle/>
          <a:p>
            <a:pPr>
              <a:defRPr sz="700"/>
            </a:pPr>
            <a:endParaRPr lang="en-US"/>
          </a:p>
        </c:txPr>
        <c:crossAx val="157342336"/>
        <c:crosses val="autoZero"/>
        <c:crossBetween val="between"/>
      </c:valAx>
    </c:plotArea>
    <c:legend>
      <c:legendPos val="b"/>
      <c:overlay val="0"/>
      <c:txPr>
        <a:bodyPr/>
        <a:lstStyle/>
        <a:p>
          <a:pPr>
            <a:defRPr sz="700"/>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Burgandy">
    <a:dk1>
      <a:srgbClr val="000000"/>
    </a:dk1>
    <a:lt1>
      <a:srgbClr val="FFFFFF"/>
    </a:lt1>
    <a:dk2>
      <a:srgbClr val="A32020"/>
    </a:dk2>
    <a:lt2>
      <a:srgbClr val="FFFFFF"/>
    </a:lt2>
    <a:accent1>
      <a:srgbClr val="A32020"/>
    </a:accent1>
    <a:accent2>
      <a:srgbClr val="E0301E"/>
    </a:accent2>
    <a:accent3>
      <a:srgbClr val="602320"/>
    </a:accent3>
    <a:accent4>
      <a:srgbClr val="E27588"/>
    </a:accent4>
    <a:accent5>
      <a:srgbClr val="DC6900"/>
    </a:accent5>
    <a:accent6>
      <a:srgbClr val="DC6900"/>
    </a:accent6>
    <a:hlink>
      <a:srgbClr val="FFFFFF"/>
    </a:hlink>
    <a:folHlink>
      <a:srgbClr val="FFFF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9FDFD-764A-4D16-B334-644FC809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 Ko Van Pelt</cp:lastModifiedBy>
  <cp:revision>2</cp:revision>
  <cp:lastPrinted>2014-10-02T18:45:00Z</cp:lastPrinted>
  <dcterms:created xsi:type="dcterms:W3CDTF">2014-10-02T18:45:00Z</dcterms:created>
  <dcterms:modified xsi:type="dcterms:W3CDTF">2014-10-02T18:45:00Z</dcterms:modified>
</cp:coreProperties>
</file>