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D7A" w:rsidRPr="002D01FB" w:rsidRDefault="00297219">
      <w:pPr>
        <w:spacing w:line="240" w:lineRule="auto"/>
        <w:rPr>
          <w:sz w:val="24"/>
          <w:szCs w:val="24"/>
        </w:rPr>
      </w:pPr>
      <w:r>
        <w:rPr>
          <w:noProof/>
          <w:sz w:val="24"/>
          <w:szCs w:val="24"/>
          <w:lang w:val="en-US"/>
        </w:rPr>
        <mc:AlternateContent>
          <mc:Choice Requires="wps">
            <w:drawing>
              <wp:anchor distT="0" distB="0" distL="114300" distR="114300" simplePos="0" relativeHeight="251658240" behindDoc="0" locked="1" layoutInCell="1" allowOverlap="1">
                <wp:simplePos x="0" y="0"/>
                <wp:positionH relativeFrom="page">
                  <wp:posOffset>1115695</wp:posOffset>
                </wp:positionH>
                <wp:positionV relativeFrom="page">
                  <wp:posOffset>9792335</wp:posOffset>
                </wp:positionV>
                <wp:extent cx="5905500" cy="144145"/>
                <wp:effectExtent l="10795" t="10160" r="8255" b="7620"/>
                <wp:wrapNone/>
                <wp:docPr id="5"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905500" cy="144145"/>
                        </a:xfrm>
                        <a:custGeom>
                          <a:avLst/>
                          <a:gdLst>
                            <a:gd name="T0" fmla="*/ 0 w 9301"/>
                            <a:gd name="T1" fmla="*/ 228 h 228"/>
                            <a:gd name="T2" fmla="*/ 0 w 9301"/>
                            <a:gd name="T3" fmla="*/ 0 h 228"/>
                            <a:gd name="T4" fmla="*/ 9301 w 9301"/>
                            <a:gd name="T5" fmla="*/ 0 h 228"/>
                          </a:gdLst>
                          <a:ahLst/>
                          <a:cxnLst>
                            <a:cxn ang="0">
                              <a:pos x="T0" y="T1"/>
                            </a:cxn>
                            <a:cxn ang="0">
                              <a:pos x="T2" y="T3"/>
                            </a:cxn>
                            <a:cxn ang="0">
                              <a:pos x="T4" y="T5"/>
                            </a:cxn>
                          </a:cxnLst>
                          <a:rect l="0" t="0" r="r" b="b"/>
                          <a:pathLst>
                            <a:path w="9301" h="228">
                              <a:moveTo>
                                <a:pt x="0" y="228"/>
                              </a:moveTo>
                              <a:lnTo>
                                <a:pt x="0" y="0"/>
                              </a:lnTo>
                              <a:lnTo>
                                <a:pt x="9301" y="0"/>
                              </a:lnTo>
                            </a:path>
                          </a:pathLst>
                        </a:custGeom>
                        <a:noFill/>
                        <a:ln w="12700" cap="rnd">
                          <a:solidFill>
                            <a:srgbClr val="DC69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87.85pt;margin-top:771.05pt;width:465pt;height:11.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01,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mQgMAAGQHAAAOAAAAZHJzL2Uyb0RvYy54bWysVV1v2jAUfZ+0/2D5cRLNB4FC1FBVBKZJ&#10;3Vap7AeY2CHREtuzDYFN+++7dhIa2lWbpvHg2NyTm3PvsY9vbo91hQ5M6VLwBAdXPkaMZ4KWfJfg&#10;L5v1aIaRNoRTUgnOEnxiGt8u3r65aWTMQlGIijKFIAnXcSMTXBgjY8/TWcFqoq+EZByCuVA1MbBU&#10;O48q0kD2uvJC3596jVBUKpExreHftA3ihcuf5ywzn/NcM4OqBAM340blxq0dvcUNiXeKyKLMOhrk&#10;H1jUpOTw0XOqlBiC9qp8kaouMyW0yM1VJmpP5HmZMVcDVBP4z6p5LIhkrhZojpbnNun/lzb7dHhQ&#10;qKQJnmDESQ0SrRVjtuFoYrvTSB0D6FE+KFuflvci+6oRF8uC8B270xJ6DMpbrHcBtgsNr6Ft81FQ&#10;SEz2RrgmHXNV22RQPjo6LU5nLdjRoAz+nMz9ycQHyTKIBVEURI6OR+L+7WyvzXsmXCZyuNem1ZLC&#10;zClBu3o2kCSvK5D1nYd81KD52Hd0Qa0zJhhgwnCGCgRjtzvOoHAAei3R+ALz2zTRAGK5vEIJBBnQ&#10;PmeCDuz6GknRl50deVc3zBAoYxtq2yCFtj22TYBGblqdSAwoG30FDIVa8NiJ+icwlGPBvTwuM5CE&#10;Z8dIwQ55fv4URnD+tm2HJTG2EEcXpqhJsNMIFQm2MthALQ5sIxzEPG2aTiT43FO84i9x7qADqo/1&#10;T+lytR+DIi5hgLfMYF+3E0cR5sONx8W6rCq38ypuiQfhtdu1BMxMceq4a1GV1OIsfa1222Wl0IGA&#10;JaXL6Rzg9uxAZAiTSpuU6KLF6ZNOhWm7pcSeU/fFghG66uaGlFU7h0yVExeOUtdVe6icG/2Y+/PV&#10;bDWLRlE4XY0iP01Hd+tlNJqug+tJOk6XyzT4aUkHUVyUlDJueffOGER/5zydR7eedvbGi/ou2rB2&#10;v5dt8C5puC5BLf2zFaT3mdartoKewHOUaK0eriaYFEJ9x6gBm0+w/rYnimFUfeDgo3OwFnsvuEU0&#10;uQ5hoYaR7TBCeAapEmwwHDE7XZr2LtlLVe4K54NWYy7uwOvy0lqSM8WWVbcAK3cVdNeOvSuGa4d6&#10;uhwXvwAAAP//AwBQSwMEFAAGAAgAAAAhAIZPybPkAAAADgEAAA8AAABkcnMvZG93bnJldi54bWxM&#10;j81OwzAQhO9IvIO1SFxQ66TqHyFOhYDSA1QVLULi5sZLEjVeR7Hbpm/P5gS3ndnR7LfporO1OGHr&#10;K0cK4mEEAil3pqJCweduOZiD8EGT0bUjVHBBD4vs+irViXFn+sDTNhSCS8gnWkEZQpNI6fMSrfZD&#10;1yDx7se1VgeWbSFNq89cbms5iqKptLoivlDqBp9KzA/bo1XwfKjfv+Tq/sV9716X9g7Xq7fNWqnb&#10;m+7xAUTALvyFocdndMiYae+OZLyoWc8mM47yMBmPYhB9JI56b9970/EcZJbK/29kvwAAAP//AwBQ&#10;SwECLQAUAAYACAAAACEAtoM4kv4AAADhAQAAEwAAAAAAAAAAAAAAAAAAAAAAW0NvbnRlbnRfVHlw&#10;ZXNdLnhtbFBLAQItABQABgAIAAAAIQA4/SH/1gAAAJQBAAALAAAAAAAAAAAAAAAAAC8BAABfcmVs&#10;cy8ucmVsc1BLAQItABQABgAIAAAAIQCG+klmQgMAAGQHAAAOAAAAAAAAAAAAAAAAAC4CAABkcnMv&#10;ZTJvRG9jLnhtbFBLAQItABQABgAIAAAAIQCGT8mz5AAAAA4BAAAPAAAAAAAAAAAAAAAAAJwFAABk&#10;cnMvZG93bnJldi54bWxQSwUGAAAAAAQABADzAAAArQYAAAAA&#10;" path="m,228l,,9301,e" filled="f" strokecolor="#dc6900" strokeweight="1pt">
                <v:stroke dashstyle="1 1" endcap="round"/>
                <v:path arrowok="t" o:connecttype="custom" o:connectlocs="0,144145;0,0;5905500,0" o:connectangles="0,0,0"/>
                <o:lock v:ext="edit" aspectratio="t"/>
                <w10:wrap anchorx="page" anchory="page"/>
                <w10:anchorlock/>
              </v:shape>
            </w:pict>
          </mc:Fallback>
        </mc:AlternateContent>
      </w:r>
    </w:p>
    <w:p w:rsidR="00734D7A" w:rsidRDefault="003B31B9">
      <w:pPr>
        <w:pStyle w:val="Title"/>
        <w:spacing w:after="0"/>
        <w:rPr>
          <w:rFonts w:ascii="Georgia" w:hAnsi="Georgia"/>
          <w:szCs w:val="24"/>
        </w:rPr>
      </w:pPr>
      <w:r w:rsidRPr="002D01FB">
        <w:rPr>
          <w:rFonts w:ascii="Georgia" w:hAnsi="Georgia"/>
          <w:szCs w:val="24"/>
        </w:rPr>
        <w:t>News release</w:t>
      </w:r>
    </w:p>
    <w:p w:rsidR="00297219" w:rsidRPr="00297219" w:rsidRDefault="00297219" w:rsidP="00297219"/>
    <w:tbl>
      <w:tblPr>
        <w:tblW w:w="0" w:type="auto"/>
        <w:tblLayout w:type="fixed"/>
        <w:tblLook w:val="0000" w:firstRow="0" w:lastRow="0" w:firstColumn="0" w:lastColumn="0" w:noHBand="0" w:noVBand="0"/>
      </w:tblPr>
      <w:tblGrid>
        <w:gridCol w:w="2268"/>
        <w:gridCol w:w="4645"/>
      </w:tblGrid>
      <w:tr w:rsidR="00734D7A" w:rsidRPr="002D01FB">
        <w:tc>
          <w:tcPr>
            <w:tcW w:w="2268" w:type="dxa"/>
          </w:tcPr>
          <w:p w:rsidR="00734D7A" w:rsidRPr="006030AF" w:rsidRDefault="003B31B9">
            <w:pPr>
              <w:spacing w:line="240" w:lineRule="auto"/>
              <w:rPr>
                <w:i/>
                <w:sz w:val="22"/>
              </w:rPr>
            </w:pPr>
            <w:r w:rsidRPr="006030AF">
              <w:rPr>
                <w:i/>
                <w:sz w:val="22"/>
              </w:rPr>
              <w:t>Date</w:t>
            </w:r>
          </w:p>
        </w:tc>
        <w:tc>
          <w:tcPr>
            <w:tcW w:w="4645" w:type="dxa"/>
          </w:tcPr>
          <w:p w:rsidR="00734D7A" w:rsidRPr="006030AF" w:rsidRDefault="00714689">
            <w:pPr>
              <w:spacing w:line="240" w:lineRule="auto"/>
              <w:rPr>
                <w:sz w:val="22"/>
              </w:rPr>
            </w:pPr>
            <w:r>
              <w:rPr>
                <w:sz w:val="22"/>
              </w:rPr>
              <w:t>5</w:t>
            </w:r>
            <w:r w:rsidR="0083618E" w:rsidRPr="006030AF">
              <w:rPr>
                <w:sz w:val="22"/>
              </w:rPr>
              <w:t xml:space="preserve"> </w:t>
            </w:r>
            <w:r w:rsidR="00DB1535" w:rsidRPr="006030AF">
              <w:rPr>
                <w:sz w:val="22"/>
              </w:rPr>
              <w:t>August</w:t>
            </w:r>
            <w:r w:rsidR="008E226A" w:rsidRPr="006030AF">
              <w:rPr>
                <w:sz w:val="22"/>
              </w:rPr>
              <w:t xml:space="preserve"> 2</w:t>
            </w:r>
            <w:r w:rsidR="003B31B9" w:rsidRPr="006030AF">
              <w:rPr>
                <w:sz w:val="22"/>
              </w:rPr>
              <w:t>01</w:t>
            </w:r>
            <w:r w:rsidR="0083618E" w:rsidRPr="006030AF">
              <w:rPr>
                <w:sz w:val="22"/>
              </w:rPr>
              <w:t>4</w:t>
            </w:r>
          </w:p>
          <w:p w:rsidR="00734D7A" w:rsidRPr="006030AF" w:rsidRDefault="00734D7A">
            <w:pPr>
              <w:spacing w:line="240" w:lineRule="auto"/>
              <w:rPr>
                <w:sz w:val="22"/>
              </w:rPr>
            </w:pPr>
          </w:p>
        </w:tc>
      </w:tr>
      <w:tr w:rsidR="00734D7A" w:rsidRPr="002D01FB">
        <w:tc>
          <w:tcPr>
            <w:tcW w:w="2268" w:type="dxa"/>
          </w:tcPr>
          <w:p w:rsidR="00734D7A" w:rsidRPr="006030AF" w:rsidRDefault="003B31B9">
            <w:pPr>
              <w:spacing w:line="240" w:lineRule="auto"/>
              <w:rPr>
                <w:i/>
                <w:sz w:val="22"/>
              </w:rPr>
            </w:pPr>
            <w:r w:rsidRPr="006030AF">
              <w:rPr>
                <w:i/>
                <w:sz w:val="22"/>
              </w:rPr>
              <w:t>Contact</w:t>
            </w:r>
          </w:p>
        </w:tc>
        <w:tc>
          <w:tcPr>
            <w:tcW w:w="4645" w:type="dxa"/>
          </w:tcPr>
          <w:p w:rsidR="00734D7A" w:rsidRPr="006030AF" w:rsidRDefault="003B31B9">
            <w:pPr>
              <w:tabs>
                <w:tab w:val="left" w:pos="1440"/>
              </w:tabs>
              <w:spacing w:line="240" w:lineRule="auto"/>
              <w:ind w:left="1440" w:hanging="1440"/>
              <w:rPr>
                <w:bCs/>
                <w:color w:val="000000"/>
                <w:sz w:val="22"/>
              </w:rPr>
            </w:pPr>
            <w:r w:rsidRPr="006030AF">
              <w:rPr>
                <w:bCs/>
                <w:color w:val="000000"/>
                <w:sz w:val="22"/>
              </w:rPr>
              <w:t xml:space="preserve">Mike Davies, PwC </w:t>
            </w:r>
          </w:p>
          <w:p w:rsidR="00734D7A" w:rsidRPr="006030AF" w:rsidRDefault="003B31B9">
            <w:pPr>
              <w:tabs>
                <w:tab w:val="left" w:pos="1440"/>
              </w:tabs>
              <w:spacing w:line="240" w:lineRule="auto"/>
              <w:rPr>
                <w:color w:val="000000"/>
                <w:sz w:val="22"/>
                <w:lang w:val="pt-BR"/>
              </w:rPr>
            </w:pPr>
            <w:r w:rsidRPr="006030AF">
              <w:rPr>
                <w:color w:val="000000"/>
                <w:sz w:val="22"/>
                <w:lang w:val="pt-BR"/>
              </w:rPr>
              <w:t>+44 207 804 2378</w:t>
            </w:r>
          </w:p>
          <w:p w:rsidR="00734D7A" w:rsidRPr="006030AF" w:rsidRDefault="003B31B9">
            <w:pPr>
              <w:tabs>
                <w:tab w:val="left" w:pos="1440"/>
              </w:tabs>
              <w:spacing w:line="240" w:lineRule="auto"/>
              <w:rPr>
                <w:color w:val="000000"/>
                <w:sz w:val="22"/>
                <w:lang w:val="pt-BR"/>
              </w:rPr>
            </w:pPr>
            <w:r w:rsidRPr="006030AF">
              <w:rPr>
                <w:color w:val="000000"/>
                <w:sz w:val="22"/>
                <w:lang w:val="pt-BR"/>
              </w:rPr>
              <w:t>e-mail: mike.davies@uk.pwc.com</w:t>
            </w:r>
          </w:p>
          <w:p w:rsidR="00734D7A" w:rsidRPr="006030AF" w:rsidRDefault="00734D7A" w:rsidP="00DB1535">
            <w:pPr>
              <w:tabs>
                <w:tab w:val="left" w:pos="1440"/>
              </w:tabs>
              <w:spacing w:line="240" w:lineRule="auto"/>
              <w:ind w:left="1440" w:hanging="1440"/>
              <w:rPr>
                <w:sz w:val="22"/>
                <w:lang w:val="it-IT"/>
              </w:rPr>
            </w:pPr>
          </w:p>
        </w:tc>
      </w:tr>
    </w:tbl>
    <w:p w:rsidR="00297219" w:rsidRPr="002D01FB" w:rsidRDefault="00297219" w:rsidP="00297219">
      <w:pPr>
        <w:spacing w:line="240" w:lineRule="auto"/>
        <w:rPr>
          <w:sz w:val="24"/>
          <w:szCs w:val="24"/>
        </w:rPr>
      </w:pPr>
      <w:r>
        <w:rPr>
          <w:noProof/>
          <w:sz w:val="24"/>
          <w:szCs w:val="24"/>
          <w:lang w:val="en-US"/>
        </w:rPr>
        <mc:AlternateContent>
          <mc:Choice Requires="wps">
            <w:drawing>
              <wp:anchor distT="0" distB="0" distL="114300" distR="114300" simplePos="0" relativeHeight="251660288" behindDoc="0" locked="1" layoutInCell="1" allowOverlap="1">
                <wp:simplePos x="0" y="0"/>
                <wp:positionH relativeFrom="page">
                  <wp:posOffset>1115695</wp:posOffset>
                </wp:positionH>
                <wp:positionV relativeFrom="page">
                  <wp:posOffset>9792335</wp:posOffset>
                </wp:positionV>
                <wp:extent cx="5905500" cy="144145"/>
                <wp:effectExtent l="10795" t="10160" r="8255" b="7620"/>
                <wp:wrapNone/>
                <wp:docPr id="4" name="Freeform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905500" cy="144145"/>
                        </a:xfrm>
                        <a:custGeom>
                          <a:avLst/>
                          <a:gdLst>
                            <a:gd name="T0" fmla="*/ 0 w 9301"/>
                            <a:gd name="T1" fmla="*/ 228 h 228"/>
                            <a:gd name="T2" fmla="*/ 0 w 9301"/>
                            <a:gd name="T3" fmla="*/ 0 h 228"/>
                            <a:gd name="T4" fmla="*/ 9301 w 9301"/>
                            <a:gd name="T5" fmla="*/ 0 h 228"/>
                          </a:gdLst>
                          <a:ahLst/>
                          <a:cxnLst>
                            <a:cxn ang="0">
                              <a:pos x="T0" y="T1"/>
                            </a:cxn>
                            <a:cxn ang="0">
                              <a:pos x="T2" y="T3"/>
                            </a:cxn>
                            <a:cxn ang="0">
                              <a:pos x="T4" y="T5"/>
                            </a:cxn>
                          </a:cxnLst>
                          <a:rect l="0" t="0" r="r" b="b"/>
                          <a:pathLst>
                            <a:path w="9301" h="228">
                              <a:moveTo>
                                <a:pt x="0" y="228"/>
                              </a:moveTo>
                              <a:lnTo>
                                <a:pt x="0" y="0"/>
                              </a:lnTo>
                              <a:lnTo>
                                <a:pt x="9301" y="0"/>
                              </a:lnTo>
                            </a:path>
                          </a:pathLst>
                        </a:custGeom>
                        <a:noFill/>
                        <a:ln w="12700" cap="rnd">
                          <a:solidFill>
                            <a:srgbClr val="DC69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87.85pt;margin-top:771.05pt;width:465pt;height:11.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01,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4IoQwMAAGQHAAAOAAAAZHJzL2Uyb0RvYy54bWysVV1v2jAUfZ+0/2D5cRLNB4FC1FBVBKZJ&#10;3Vap7AeY2CHREtuzDaGb9t937SQQ2nWapvGQ2LmH63PPtY9vbo91hQ5M6VLwBAdXPkaMZ4KWfJfg&#10;L5v1aIaRNoRTUgnOEvzENL5dvH1z08iYhaIQFWUKQRKu40YmuDBGxp6ns4LVRF8JyTgEc6FqYmCq&#10;dh5VpIHsdeWFvj/1GqGoVCJjWsPXtA3ihcuf5ywzn/NcM4OqBAM3457KPbf26S1uSLxTRBZl1tEg&#10;/8CiJiWHRU+pUmII2qvyRaq6zJTQIjdXmag9kedlxlwNUE3gP6vmsSCSuVpAHC1PMun/lzb7dHhQ&#10;qKQJjjDipIYWrRVjVnA0teo0UscAepQPytan5b3IvmrExbIgfMfutASNofMW612A7UTD39C2+Sgo&#10;JCZ7I5xIx1zVNhmUj46uF0+nXrCjQRl8nMz9ycSHlmUQC6IoiCZuCRL3/8722rxnwmUih3tt2l5S&#10;GLlO0K6eDSTJ6wra+s5DPmrQfOw7utCtEyYYYMJwhgoEz253nEDhAPRaovEF5rdpQOkTH8vlFUqT&#10;Acw/E/Is7a5GUvRlZ0fefYMRgs5YQa0MUmirsRUBhNy0fSIxoGz0FTAUasHjTvE/g6EcC+7b48BA&#10;Et4dIwU75Pn5UxjB+du2CktibCGOLgxRk2DXI1Qk2LbBBmpxYBvhIOa8abomwXLneMVf4txBB1Qf&#10;69/S5WoXgyIuYYC3zGBftwNHEcbDjcfFuqwqt/MqbokH4bXbtQTMTHHquGtRldTiLH2tdttlpdCB&#10;gCWly+kc4PbsQGQIk0qblOiixeknnQrTqqXEnlO3YsEIXXVjQ8qqHUOmyjUXjlKnqj1Uzo1+zP35&#10;araaRaMonK5GkZ+mo7v1MhpN18H1JB2ny2Ua/LSkgyguSkoZt7x7Zwyiv3OezqNbTzt540V9FzKs&#10;3e+lDN4lDacS1NK/24b0PtN61VbQJ/AcJVqrh6sJBoVQ3zFqwOYTrL/tiWIYVR84+OgcrMXeC24S&#10;Ta5DmKhhZDuMEJ5BqgQbDEfMDpemvUv2UpW7wvmg7TEXd+B1eWktyZliy6qbgJW7Crprx94Vw7lD&#10;nS/HxS8AAAD//wMAUEsDBBQABgAIAAAAIQCGT8mz5AAAAA4BAAAPAAAAZHJzL2Rvd25yZXYueG1s&#10;TI/NTsMwEITvSLyDtUhcUOuk6h8hToWA0gNUFS1C4ubGSxI1Xkex26Zvz+YEt53Z0ey36aKztThh&#10;6ytHCuJhBAIpd6aiQsHnbjmYg/BBk9G1I1RwQQ+L7Poq1YlxZ/rA0zYUgkvIJ1pBGUKTSOnzEq32&#10;Q9cg8e7HtVYHlm0hTavPXG5rOYqiqbS6Ir5Q6gafSswP26NV8Hyo37/k6v7Ffe9el/YO16u3zVqp&#10;25vu8QFEwC78haHHZ3TImGnvjmS8qFnPJjOO8jAZj2IQfSSOem/fe9PxHGSWyv9vZL8AAAD//wMA&#10;UEsBAi0AFAAGAAgAAAAhALaDOJL+AAAA4QEAABMAAAAAAAAAAAAAAAAAAAAAAFtDb250ZW50X1R5&#10;cGVzXS54bWxQSwECLQAUAAYACAAAACEAOP0h/9YAAACUAQAACwAAAAAAAAAAAAAAAAAvAQAAX3Jl&#10;bHMvLnJlbHNQSwECLQAUAAYACAAAACEAHxuCKEMDAABkBwAADgAAAAAAAAAAAAAAAAAuAgAAZHJz&#10;L2Uyb0RvYy54bWxQSwECLQAUAAYACAAAACEAhk/Js+QAAAAOAQAADwAAAAAAAAAAAAAAAACdBQAA&#10;ZHJzL2Rvd25yZXYueG1sUEsFBgAAAAAEAAQA8wAAAK4GAAAAAA==&#10;" path="m,228l,,9301,e" filled="f" strokecolor="#dc6900" strokeweight="1pt">
                <v:stroke dashstyle="1 1" endcap="round"/>
                <v:path arrowok="t" o:connecttype="custom" o:connectlocs="0,144145;0,0;5905500,0" o:connectangles="0,0,0"/>
                <o:lock v:ext="edit" aspectratio="t"/>
                <w10:wrap anchorx="page" anchory="page"/>
                <w10:anchorlock/>
              </v:shape>
            </w:pict>
          </mc:Fallback>
        </mc:AlternateContent>
      </w:r>
    </w:p>
    <w:p w:rsidR="00297219" w:rsidRPr="00297219" w:rsidRDefault="00297219" w:rsidP="003E6603">
      <w:pPr>
        <w:pStyle w:val="Title"/>
        <w:spacing w:after="0"/>
        <w:ind w:right="430"/>
        <w:rPr>
          <w:rFonts w:ascii="Georgia" w:hAnsi="Georgia"/>
          <w:szCs w:val="24"/>
        </w:rPr>
      </w:pPr>
    </w:p>
    <w:p w:rsidR="00734D7A" w:rsidRPr="006030AF" w:rsidRDefault="0056284F" w:rsidP="003E6603">
      <w:pPr>
        <w:pStyle w:val="BodyText3"/>
        <w:spacing w:after="0"/>
        <w:ind w:right="790"/>
        <w:jc w:val="center"/>
        <w:rPr>
          <w:b/>
          <w:sz w:val="22"/>
          <w:szCs w:val="22"/>
        </w:rPr>
      </w:pPr>
      <w:r>
        <w:rPr>
          <w:b/>
          <w:sz w:val="22"/>
          <w:szCs w:val="22"/>
        </w:rPr>
        <w:t xml:space="preserve">Africa: Growth is on the horizon but where should you look? </w:t>
      </w:r>
    </w:p>
    <w:p w:rsidR="00734D7A" w:rsidRPr="002D01FB" w:rsidRDefault="00734D7A" w:rsidP="005E10F1">
      <w:pPr>
        <w:rPr>
          <w:sz w:val="24"/>
          <w:szCs w:val="24"/>
        </w:rPr>
      </w:pPr>
    </w:p>
    <w:p w:rsidR="0056284F" w:rsidRDefault="00DB1535" w:rsidP="005E10F1">
      <w:pPr>
        <w:autoSpaceDE w:val="0"/>
        <w:autoSpaceDN w:val="0"/>
        <w:adjustRightInd w:val="0"/>
        <w:spacing w:line="240" w:lineRule="auto"/>
        <w:ind w:right="430"/>
        <w:rPr>
          <w:szCs w:val="20"/>
          <w:lang w:val="en"/>
        </w:rPr>
      </w:pPr>
      <w:r w:rsidRPr="006030AF">
        <w:rPr>
          <w:szCs w:val="20"/>
        </w:rPr>
        <w:t xml:space="preserve">CEOs around the world are increasingly </w:t>
      </w:r>
      <w:r w:rsidR="0056284F">
        <w:rPr>
          <w:szCs w:val="20"/>
        </w:rPr>
        <w:t xml:space="preserve">recognising the untapped potential </w:t>
      </w:r>
      <w:r w:rsidRPr="006030AF">
        <w:rPr>
          <w:szCs w:val="20"/>
        </w:rPr>
        <w:t>of Sub-Saharan Africa</w:t>
      </w:r>
      <w:r w:rsidR="002949BD" w:rsidRPr="006030AF">
        <w:rPr>
          <w:szCs w:val="20"/>
        </w:rPr>
        <w:t xml:space="preserve"> (SSA)</w:t>
      </w:r>
      <w:r w:rsidR="0056284F">
        <w:rPr>
          <w:szCs w:val="20"/>
          <w:lang w:val="en"/>
        </w:rPr>
        <w:t xml:space="preserve">. This is driven by Africa’s unparalleled demographic edge as, by </w:t>
      </w:r>
      <w:r w:rsidR="0056284F" w:rsidRPr="006030AF">
        <w:rPr>
          <w:szCs w:val="20"/>
          <w:lang w:val="en"/>
        </w:rPr>
        <w:t>2040</w:t>
      </w:r>
      <w:r w:rsidR="0056284F">
        <w:rPr>
          <w:szCs w:val="20"/>
          <w:lang w:val="en"/>
        </w:rPr>
        <w:t>,</w:t>
      </w:r>
      <w:r w:rsidR="0056284F" w:rsidRPr="006030AF">
        <w:rPr>
          <w:szCs w:val="20"/>
          <w:lang w:val="en"/>
        </w:rPr>
        <w:t xml:space="preserve"> </w:t>
      </w:r>
      <w:r w:rsidR="0056284F">
        <w:rPr>
          <w:szCs w:val="20"/>
          <w:lang w:val="en"/>
        </w:rPr>
        <w:t xml:space="preserve">it is expected to have the </w:t>
      </w:r>
      <w:r w:rsidR="00345F31" w:rsidRPr="006030AF">
        <w:rPr>
          <w:szCs w:val="20"/>
          <w:lang w:val="en"/>
        </w:rPr>
        <w:t>biggest labour force in the world and be experiencing faster econom</w:t>
      </w:r>
      <w:r w:rsidR="00B04BC3">
        <w:rPr>
          <w:szCs w:val="20"/>
          <w:lang w:val="en"/>
        </w:rPr>
        <w:t xml:space="preserve">ic growth than any other region, </w:t>
      </w:r>
      <w:r w:rsidR="00B04BC3" w:rsidRPr="006030AF">
        <w:rPr>
          <w:szCs w:val="20"/>
          <w:lang w:val="en"/>
        </w:rPr>
        <w:t>according to a new PwC report</w:t>
      </w:r>
      <w:r w:rsidR="00B04BC3">
        <w:rPr>
          <w:szCs w:val="20"/>
          <w:lang w:val="en"/>
        </w:rPr>
        <w:t>.</w:t>
      </w:r>
    </w:p>
    <w:p w:rsidR="0056284F" w:rsidRDefault="0056284F" w:rsidP="005E10F1">
      <w:pPr>
        <w:autoSpaceDE w:val="0"/>
        <w:autoSpaceDN w:val="0"/>
        <w:adjustRightInd w:val="0"/>
        <w:spacing w:line="240" w:lineRule="auto"/>
        <w:ind w:right="430"/>
        <w:rPr>
          <w:szCs w:val="20"/>
          <w:lang w:val="en"/>
        </w:rPr>
      </w:pPr>
    </w:p>
    <w:p w:rsidR="0056284F" w:rsidRDefault="00345F31" w:rsidP="005E10F1">
      <w:pPr>
        <w:autoSpaceDE w:val="0"/>
        <w:autoSpaceDN w:val="0"/>
        <w:adjustRightInd w:val="0"/>
        <w:spacing w:line="240" w:lineRule="auto"/>
        <w:ind w:right="430"/>
        <w:rPr>
          <w:rFonts w:cs="Georgia"/>
          <w:color w:val="000000"/>
          <w:szCs w:val="20"/>
          <w:lang w:val="en-US"/>
        </w:rPr>
      </w:pPr>
      <w:r w:rsidRPr="006030AF">
        <w:rPr>
          <w:rFonts w:cs="Georgia"/>
          <w:color w:val="000000"/>
          <w:szCs w:val="20"/>
          <w:lang w:val="en-US"/>
        </w:rPr>
        <w:t xml:space="preserve">The projections are contained in the latest PwC </w:t>
      </w:r>
      <w:r w:rsidRPr="00B04BC3">
        <w:rPr>
          <w:rFonts w:cs="Georgia"/>
          <w:i/>
          <w:color w:val="000000"/>
          <w:szCs w:val="20"/>
          <w:lang w:val="en-US"/>
        </w:rPr>
        <w:t>Global Economy Watch</w:t>
      </w:r>
      <w:r w:rsidRPr="006030AF">
        <w:rPr>
          <w:rFonts w:cs="Georgia"/>
          <w:color w:val="000000"/>
          <w:szCs w:val="20"/>
          <w:lang w:val="en-US"/>
        </w:rPr>
        <w:t xml:space="preserve">, which </w:t>
      </w:r>
      <w:r w:rsidR="002949BD" w:rsidRPr="006030AF">
        <w:rPr>
          <w:rFonts w:cs="Georgia"/>
          <w:color w:val="000000"/>
          <w:szCs w:val="20"/>
          <w:lang w:val="en-US"/>
        </w:rPr>
        <w:t>puts the spotlight on the</w:t>
      </w:r>
      <w:r w:rsidR="0056284F">
        <w:rPr>
          <w:rFonts w:cs="Georgia"/>
          <w:color w:val="000000"/>
          <w:szCs w:val="20"/>
          <w:lang w:val="en-US"/>
        </w:rPr>
        <w:t xml:space="preserve"> </w:t>
      </w:r>
      <w:r w:rsidR="002949BD" w:rsidRPr="006030AF">
        <w:rPr>
          <w:rFonts w:cs="Georgia"/>
          <w:color w:val="000000"/>
          <w:szCs w:val="20"/>
          <w:lang w:val="en-US"/>
        </w:rPr>
        <w:t xml:space="preserve">largest cities in SSA. </w:t>
      </w:r>
    </w:p>
    <w:p w:rsidR="0056284F" w:rsidRDefault="0056284F" w:rsidP="005E10F1">
      <w:pPr>
        <w:autoSpaceDE w:val="0"/>
        <w:autoSpaceDN w:val="0"/>
        <w:adjustRightInd w:val="0"/>
        <w:spacing w:line="240" w:lineRule="auto"/>
        <w:ind w:right="430"/>
        <w:rPr>
          <w:rFonts w:cs="Georgia"/>
          <w:color w:val="000000"/>
          <w:szCs w:val="20"/>
          <w:lang w:val="en-US"/>
        </w:rPr>
      </w:pPr>
    </w:p>
    <w:p w:rsidR="002B33E4" w:rsidRPr="0056284F" w:rsidRDefault="002949BD" w:rsidP="005E10F1">
      <w:pPr>
        <w:autoSpaceDE w:val="0"/>
        <w:autoSpaceDN w:val="0"/>
        <w:adjustRightInd w:val="0"/>
        <w:spacing w:line="240" w:lineRule="auto"/>
        <w:ind w:right="430"/>
        <w:rPr>
          <w:szCs w:val="20"/>
          <w:lang w:val="en"/>
        </w:rPr>
      </w:pPr>
      <w:r w:rsidRPr="006030AF">
        <w:rPr>
          <w:rFonts w:cs="Georgia"/>
          <w:color w:val="000000"/>
          <w:szCs w:val="20"/>
          <w:lang w:val="en-US"/>
        </w:rPr>
        <w:t xml:space="preserve">Most </w:t>
      </w:r>
      <w:r w:rsidR="00B127DA" w:rsidRPr="006030AF">
        <w:rPr>
          <w:rFonts w:cs="Georgia"/>
          <w:color w:val="000000"/>
          <w:szCs w:val="20"/>
          <w:lang w:val="en-US"/>
        </w:rPr>
        <w:t>major</w:t>
      </w:r>
      <w:r w:rsidRPr="006030AF">
        <w:rPr>
          <w:rFonts w:cs="Georgia"/>
          <w:color w:val="000000"/>
          <w:szCs w:val="20"/>
          <w:lang w:val="en-US"/>
        </w:rPr>
        <w:t xml:space="preserve"> corporations are already active in at least one of the three largest cities </w:t>
      </w:r>
      <w:r w:rsidR="0056284F">
        <w:rPr>
          <w:rFonts w:cs="Georgia"/>
          <w:color w:val="000000"/>
          <w:szCs w:val="20"/>
          <w:lang w:val="en-US"/>
        </w:rPr>
        <w:t xml:space="preserve">in SSA </w:t>
      </w:r>
      <w:r w:rsidRPr="006030AF">
        <w:rPr>
          <w:rFonts w:cs="Georgia"/>
          <w:color w:val="000000"/>
          <w:szCs w:val="20"/>
          <w:lang w:val="en-US"/>
        </w:rPr>
        <w:t>– Lagos, Kinshasa and Johannesburg.</w:t>
      </w:r>
    </w:p>
    <w:p w:rsidR="002949BD" w:rsidRPr="006030AF" w:rsidRDefault="002949BD" w:rsidP="005E10F1">
      <w:pPr>
        <w:autoSpaceDE w:val="0"/>
        <w:autoSpaceDN w:val="0"/>
        <w:adjustRightInd w:val="0"/>
        <w:spacing w:line="240" w:lineRule="auto"/>
        <w:ind w:right="430"/>
        <w:rPr>
          <w:rFonts w:cs="Georgia"/>
          <w:color w:val="000000"/>
          <w:szCs w:val="20"/>
          <w:lang w:val="en-US"/>
        </w:rPr>
      </w:pPr>
    </w:p>
    <w:p w:rsidR="002949BD" w:rsidRPr="006030AF" w:rsidRDefault="0056284F" w:rsidP="005E10F1">
      <w:pPr>
        <w:autoSpaceDE w:val="0"/>
        <w:autoSpaceDN w:val="0"/>
        <w:adjustRightInd w:val="0"/>
        <w:spacing w:line="240" w:lineRule="auto"/>
        <w:ind w:right="430"/>
        <w:rPr>
          <w:rFonts w:cs="Georgia"/>
          <w:color w:val="000000"/>
          <w:szCs w:val="20"/>
          <w:lang w:val="en-US"/>
        </w:rPr>
      </w:pPr>
      <w:r>
        <w:rPr>
          <w:rFonts w:cs="Georgia"/>
          <w:color w:val="000000"/>
          <w:szCs w:val="20"/>
          <w:lang w:val="en-US"/>
        </w:rPr>
        <w:t xml:space="preserve">But </w:t>
      </w:r>
      <w:r w:rsidR="00B127DA" w:rsidRPr="006030AF">
        <w:rPr>
          <w:rFonts w:cs="Georgia"/>
          <w:color w:val="000000"/>
          <w:szCs w:val="20"/>
          <w:lang w:val="en-US"/>
        </w:rPr>
        <w:t xml:space="preserve">PwC economists believe it’s the </w:t>
      </w:r>
      <w:r w:rsidR="00B127DA" w:rsidRPr="0056284F">
        <w:rPr>
          <w:rFonts w:cs="Georgia"/>
          <w:i/>
          <w:color w:val="000000"/>
          <w:szCs w:val="20"/>
          <w:lang w:val="en-US"/>
        </w:rPr>
        <w:t>‘Next 10’</w:t>
      </w:r>
      <w:r w:rsidR="00B127DA" w:rsidRPr="006030AF">
        <w:rPr>
          <w:rFonts w:cs="Georgia"/>
          <w:color w:val="000000"/>
          <w:szCs w:val="20"/>
          <w:lang w:val="en-US"/>
        </w:rPr>
        <w:t xml:space="preserve"> biggest cities in SSA that should </w:t>
      </w:r>
      <w:r w:rsidR="00B04BC3">
        <w:rPr>
          <w:rFonts w:cs="Georgia"/>
          <w:color w:val="000000"/>
          <w:szCs w:val="20"/>
          <w:lang w:val="en-US"/>
        </w:rPr>
        <w:t xml:space="preserve">also </w:t>
      </w:r>
      <w:r w:rsidR="00B127DA" w:rsidRPr="006030AF">
        <w:rPr>
          <w:rFonts w:cs="Georgia"/>
          <w:color w:val="000000"/>
          <w:szCs w:val="20"/>
          <w:lang w:val="en-US"/>
        </w:rPr>
        <w:t>be exciting foreign investors. The population of these cities is projected to almost double by 2030, growing by around 32 million people. In fact, latest UN projections show that by 2030 two of the ‘Next 10’ – Dar es Salaam and Luanda – could have bigger populations than London has now.</w:t>
      </w:r>
    </w:p>
    <w:p w:rsidR="006030AF" w:rsidRDefault="006030AF" w:rsidP="005E10F1">
      <w:pPr>
        <w:autoSpaceDE w:val="0"/>
        <w:autoSpaceDN w:val="0"/>
        <w:adjustRightInd w:val="0"/>
        <w:spacing w:line="240" w:lineRule="auto"/>
        <w:ind w:right="430"/>
        <w:rPr>
          <w:rFonts w:cs="Georgia"/>
          <w:color w:val="000000"/>
          <w:sz w:val="22"/>
          <w:lang w:val="en-US"/>
        </w:rPr>
      </w:pPr>
    </w:p>
    <w:p w:rsidR="006030AF" w:rsidRDefault="006030AF" w:rsidP="005E10F1">
      <w:pPr>
        <w:autoSpaceDE w:val="0"/>
        <w:autoSpaceDN w:val="0"/>
        <w:adjustRightInd w:val="0"/>
        <w:spacing w:line="240" w:lineRule="auto"/>
        <w:ind w:right="430"/>
        <w:rPr>
          <w:rFonts w:cs="Georgia"/>
          <w:color w:val="000000"/>
          <w:sz w:val="22"/>
          <w:lang w:val="en-US"/>
        </w:rPr>
      </w:pPr>
    </w:p>
    <w:p w:rsidR="006030AF" w:rsidRPr="00196D17" w:rsidRDefault="006030AF" w:rsidP="0056284F">
      <w:pPr>
        <w:autoSpaceDE w:val="0"/>
        <w:autoSpaceDN w:val="0"/>
        <w:adjustRightInd w:val="0"/>
        <w:spacing w:line="240" w:lineRule="auto"/>
        <w:ind w:right="430"/>
        <w:jc w:val="center"/>
        <w:rPr>
          <w:rFonts w:cs="Georgia"/>
          <w:color w:val="000000"/>
          <w:sz w:val="22"/>
          <w:lang w:val="en-US"/>
        </w:rPr>
      </w:pPr>
      <w:r w:rsidRPr="000A2BF0">
        <w:rPr>
          <w:noProof/>
          <w:lang w:val="en-US"/>
        </w:rPr>
        <w:drawing>
          <wp:inline distT="0" distB="0" distL="0" distR="0" wp14:anchorId="1D504608" wp14:editId="2B9B5F66">
            <wp:extent cx="3499339" cy="3060690"/>
            <wp:effectExtent l="0" t="0" r="635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503750" cy="3064548"/>
                    </a:xfrm>
                    <a:prstGeom prst="rect">
                      <a:avLst/>
                    </a:prstGeom>
                  </pic:spPr>
                </pic:pic>
              </a:graphicData>
            </a:graphic>
          </wp:inline>
        </w:drawing>
      </w:r>
    </w:p>
    <w:p w:rsidR="00B04BC3" w:rsidRDefault="00B04BC3" w:rsidP="005E10F1">
      <w:pPr>
        <w:autoSpaceDE w:val="0"/>
        <w:autoSpaceDN w:val="0"/>
        <w:adjustRightInd w:val="0"/>
        <w:spacing w:line="240" w:lineRule="auto"/>
        <w:ind w:right="430"/>
        <w:rPr>
          <w:rFonts w:cs="Georgia"/>
          <w:color w:val="000000"/>
          <w:szCs w:val="20"/>
          <w:lang w:val="en-US"/>
        </w:rPr>
      </w:pPr>
      <w:r>
        <w:rPr>
          <w:rFonts w:cs="Georgia"/>
          <w:color w:val="000000"/>
          <w:szCs w:val="20"/>
          <w:lang w:val="en-US"/>
        </w:rPr>
        <w:lastRenderedPageBreak/>
        <w:t>Cities are the typical entry points for businesses trying to expand into new overseas markets, because they enable closer interaction with customers in a relatively small geographic space, which in turn helps contain distribution costs.</w:t>
      </w:r>
    </w:p>
    <w:p w:rsidR="00B04BC3" w:rsidRDefault="00B04BC3" w:rsidP="005E10F1">
      <w:pPr>
        <w:autoSpaceDE w:val="0"/>
        <w:autoSpaceDN w:val="0"/>
        <w:adjustRightInd w:val="0"/>
        <w:spacing w:line="240" w:lineRule="auto"/>
        <w:ind w:right="430"/>
        <w:rPr>
          <w:rFonts w:cs="Georgia"/>
          <w:color w:val="000000"/>
          <w:szCs w:val="20"/>
          <w:lang w:val="en-US"/>
        </w:rPr>
      </w:pPr>
    </w:p>
    <w:p w:rsidR="00297219" w:rsidRDefault="00B127DA" w:rsidP="005E10F1">
      <w:pPr>
        <w:autoSpaceDE w:val="0"/>
        <w:autoSpaceDN w:val="0"/>
        <w:adjustRightInd w:val="0"/>
        <w:spacing w:line="240" w:lineRule="auto"/>
        <w:ind w:right="430"/>
        <w:rPr>
          <w:rFonts w:cs="Georgia"/>
          <w:color w:val="000000"/>
          <w:szCs w:val="20"/>
          <w:lang w:val="en-US"/>
        </w:rPr>
      </w:pPr>
      <w:r w:rsidRPr="006030AF">
        <w:rPr>
          <w:rFonts w:cs="Georgia"/>
          <w:color w:val="000000"/>
          <w:szCs w:val="20"/>
          <w:lang w:val="en-US"/>
        </w:rPr>
        <w:t xml:space="preserve">Says PwC </w:t>
      </w:r>
      <w:r w:rsidR="00FA333B">
        <w:rPr>
          <w:rFonts w:cs="Georgia"/>
          <w:color w:val="000000"/>
          <w:szCs w:val="20"/>
          <w:lang w:val="en-US"/>
        </w:rPr>
        <w:t xml:space="preserve">senior </w:t>
      </w:r>
      <w:r w:rsidRPr="006030AF">
        <w:rPr>
          <w:rFonts w:cs="Georgia"/>
          <w:color w:val="000000"/>
          <w:szCs w:val="20"/>
          <w:lang w:val="en-US"/>
        </w:rPr>
        <w:t xml:space="preserve">economist </w:t>
      </w:r>
      <w:r w:rsidR="00FA333B">
        <w:rPr>
          <w:rFonts w:cs="Georgia"/>
          <w:color w:val="000000"/>
          <w:szCs w:val="20"/>
          <w:lang w:val="en-US"/>
        </w:rPr>
        <w:t>Richard Boxshall</w:t>
      </w:r>
      <w:r w:rsidR="00260538" w:rsidRPr="006030AF">
        <w:rPr>
          <w:rFonts w:cs="Georgia"/>
          <w:color w:val="000000"/>
          <w:szCs w:val="20"/>
          <w:lang w:val="en-US"/>
        </w:rPr>
        <w:t>: “</w:t>
      </w:r>
      <w:r w:rsidR="00FF7B71" w:rsidRPr="006030AF">
        <w:rPr>
          <w:rFonts w:cs="Georgia"/>
          <w:color w:val="000000"/>
          <w:szCs w:val="20"/>
          <w:lang w:val="en-US"/>
        </w:rPr>
        <w:t>We estimate that economic</w:t>
      </w:r>
      <w:r w:rsidR="00E41233" w:rsidRPr="006030AF">
        <w:rPr>
          <w:rFonts w:cs="Georgia"/>
          <w:color w:val="000000"/>
          <w:szCs w:val="20"/>
          <w:lang w:val="en-US"/>
        </w:rPr>
        <w:t xml:space="preserve"> activity in the ‘Next 10’ cities could grow by around $140 billion by 2030.</w:t>
      </w:r>
      <w:r w:rsidR="0056284F">
        <w:rPr>
          <w:rFonts w:cs="Georgia"/>
          <w:color w:val="000000"/>
          <w:szCs w:val="20"/>
          <w:lang w:val="en-US"/>
        </w:rPr>
        <w:t xml:space="preserve"> This is roughly equivalent to the current annual output of </w:t>
      </w:r>
      <w:r w:rsidR="007A2FEF">
        <w:rPr>
          <w:rFonts w:cs="Georgia"/>
          <w:color w:val="000000"/>
          <w:szCs w:val="20"/>
          <w:lang w:val="en-US"/>
        </w:rPr>
        <w:t>Hungary.</w:t>
      </w:r>
      <w:r w:rsidR="00E41233" w:rsidRPr="006030AF">
        <w:rPr>
          <w:rFonts w:cs="Georgia"/>
          <w:color w:val="000000"/>
          <w:szCs w:val="20"/>
          <w:lang w:val="en-US"/>
        </w:rPr>
        <w:t>”</w:t>
      </w:r>
    </w:p>
    <w:p w:rsidR="006030AF" w:rsidRPr="006030AF" w:rsidRDefault="006030AF" w:rsidP="005E10F1">
      <w:pPr>
        <w:autoSpaceDE w:val="0"/>
        <w:autoSpaceDN w:val="0"/>
        <w:adjustRightInd w:val="0"/>
        <w:spacing w:line="240" w:lineRule="auto"/>
        <w:ind w:right="430"/>
        <w:rPr>
          <w:rFonts w:cs="Georgia"/>
          <w:color w:val="000000"/>
          <w:szCs w:val="20"/>
          <w:lang w:val="en-US"/>
        </w:rPr>
      </w:pPr>
    </w:p>
    <w:p w:rsidR="006030AF" w:rsidRDefault="006030AF" w:rsidP="005E10F1">
      <w:pPr>
        <w:autoSpaceDE w:val="0"/>
        <w:autoSpaceDN w:val="0"/>
        <w:adjustRightInd w:val="0"/>
        <w:spacing w:line="240" w:lineRule="auto"/>
        <w:ind w:right="430"/>
        <w:rPr>
          <w:rFonts w:cs="Georgia"/>
          <w:color w:val="000000"/>
          <w:sz w:val="22"/>
          <w:lang w:val="en-US"/>
        </w:rPr>
      </w:pPr>
    </w:p>
    <w:p w:rsidR="006030AF" w:rsidRDefault="006030AF" w:rsidP="005E10F1">
      <w:pPr>
        <w:autoSpaceDE w:val="0"/>
        <w:autoSpaceDN w:val="0"/>
        <w:adjustRightInd w:val="0"/>
        <w:spacing w:line="240" w:lineRule="auto"/>
        <w:ind w:right="430"/>
        <w:rPr>
          <w:rFonts w:cs="Georgia"/>
          <w:color w:val="000000"/>
          <w:sz w:val="22"/>
          <w:lang w:val="en-US"/>
        </w:rPr>
      </w:pPr>
      <w:r>
        <w:rPr>
          <w:noProof/>
          <w:lang w:val="en-US"/>
        </w:rPr>
        <w:drawing>
          <wp:inline distT="0" distB="0" distL="0" distR="0" wp14:anchorId="6CB67C84" wp14:editId="2FD3B68F">
            <wp:extent cx="3770142" cy="3492403"/>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774692" cy="3496618"/>
                    </a:xfrm>
                    <a:prstGeom prst="rect">
                      <a:avLst/>
                    </a:prstGeom>
                  </pic:spPr>
                </pic:pic>
              </a:graphicData>
            </a:graphic>
          </wp:inline>
        </w:drawing>
      </w:r>
    </w:p>
    <w:p w:rsidR="00E41233" w:rsidRDefault="00E41233" w:rsidP="005E10F1">
      <w:pPr>
        <w:autoSpaceDE w:val="0"/>
        <w:autoSpaceDN w:val="0"/>
        <w:adjustRightInd w:val="0"/>
        <w:spacing w:line="240" w:lineRule="auto"/>
        <w:ind w:right="430"/>
        <w:rPr>
          <w:rFonts w:cs="Georgia"/>
          <w:color w:val="000000"/>
          <w:sz w:val="22"/>
          <w:lang w:val="en-US"/>
        </w:rPr>
      </w:pPr>
    </w:p>
    <w:p w:rsidR="00B04BC3" w:rsidRDefault="00B04BC3" w:rsidP="005E10F1">
      <w:pPr>
        <w:autoSpaceDE w:val="0"/>
        <w:autoSpaceDN w:val="0"/>
        <w:adjustRightInd w:val="0"/>
        <w:spacing w:line="240" w:lineRule="auto"/>
        <w:ind w:right="430"/>
        <w:rPr>
          <w:rFonts w:cs="Georgia"/>
          <w:color w:val="000000"/>
          <w:sz w:val="22"/>
          <w:lang w:val="en-US"/>
        </w:rPr>
      </w:pPr>
    </w:p>
    <w:p w:rsidR="007A2FEF" w:rsidRDefault="00E41233" w:rsidP="007A2FEF">
      <w:pPr>
        <w:autoSpaceDE w:val="0"/>
        <w:autoSpaceDN w:val="0"/>
        <w:adjustRightInd w:val="0"/>
        <w:spacing w:line="240" w:lineRule="auto"/>
        <w:rPr>
          <w:rFonts w:eastAsia="Times New Roman" w:cs="Georgia"/>
          <w:color w:val="000000"/>
          <w:szCs w:val="20"/>
          <w:lang w:val="en-US" w:eastAsia="zh-CN"/>
        </w:rPr>
      </w:pPr>
      <w:bookmarkStart w:id="0" w:name="_GoBack"/>
      <w:r w:rsidRPr="007A2FEF">
        <w:rPr>
          <w:rFonts w:eastAsia="Times New Roman" w:cs="Georgia"/>
          <w:color w:val="000000"/>
          <w:szCs w:val="20"/>
          <w:lang w:val="en-US" w:eastAsia="zh-CN"/>
        </w:rPr>
        <w:t xml:space="preserve">However, there are three </w:t>
      </w:r>
      <w:r w:rsidR="00682E7D">
        <w:rPr>
          <w:rFonts w:eastAsia="Times New Roman" w:cs="Georgia"/>
          <w:color w:val="000000"/>
          <w:szCs w:val="20"/>
          <w:lang w:val="en-US" w:eastAsia="zh-CN"/>
        </w:rPr>
        <w:t>problems</w:t>
      </w:r>
      <w:r w:rsidR="00682E7D" w:rsidRPr="007A2FEF">
        <w:rPr>
          <w:rFonts w:eastAsia="Times New Roman" w:cs="Georgia"/>
          <w:color w:val="000000"/>
          <w:szCs w:val="20"/>
          <w:lang w:val="en-US" w:eastAsia="zh-CN"/>
        </w:rPr>
        <w:t xml:space="preserve"> </w:t>
      </w:r>
      <w:r w:rsidRPr="007A2FEF">
        <w:rPr>
          <w:rFonts w:eastAsia="Times New Roman" w:cs="Georgia"/>
          <w:color w:val="000000"/>
          <w:szCs w:val="20"/>
          <w:lang w:val="en-US" w:eastAsia="zh-CN"/>
        </w:rPr>
        <w:t xml:space="preserve">that </w:t>
      </w:r>
      <w:r w:rsidR="007A2FEF" w:rsidRPr="007A2FEF">
        <w:rPr>
          <w:rFonts w:eastAsia="Times New Roman" w:cs="Georgia"/>
          <w:color w:val="000000"/>
          <w:szCs w:val="20"/>
          <w:lang w:val="en-US" w:eastAsia="zh-CN"/>
        </w:rPr>
        <w:t xml:space="preserve">could </w:t>
      </w:r>
      <w:r w:rsidR="00682E7D">
        <w:rPr>
          <w:rFonts w:eastAsia="Times New Roman" w:cs="Georgia"/>
          <w:color w:val="000000"/>
          <w:szCs w:val="20"/>
          <w:lang w:val="en-US" w:eastAsia="zh-CN"/>
        </w:rPr>
        <w:t>slow</w:t>
      </w:r>
      <w:r w:rsidR="00682E7D" w:rsidRPr="007A2FEF">
        <w:rPr>
          <w:rFonts w:eastAsia="Times New Roman" w:cs="Georgia"/>
          <w:color w:val="000000"/>
          <w:szCs w:val="20"/>
          <w:lang w:val="en-US" w:eastAsia="zh-CN"/>
        </w:rPr>
        <w:t xml:space="preserve"> </w:t>
      </w:r>
      <w:r w:rsidR="007A2FEF" w:rsidRPr="007A2FEF">
        <w:rPr>
          <w:rFonts w:eastAsia="Times New Roman" w:cs="Georgia"/>
          <w:color w:val="000000"/>
          <w:szCs w:val="20"/>
          <w:lang w:val="en-US" w:eastAsia="zh-CN"/>
        </w:rPr>
        <w:t>the pace at which the ‘Next 10’ grow. These are issues that most SSA countries have been trying to tackle for many decades with limited success:</w:t>
      </w:r>
    </w:p>
    <w:p w:rsidR="007A2FEF" w:rsidRPr="007A2FEF" w:rsidRDefault="007A2FEF" w:rsidP="007A2FEF">
      <w:pPr>
        <w:autoSpaceDE w:val="0"/>
        <w:autoSpaceDN w:val="0"/>
        <w:adjustRightInd w:val="0"/>
        <w:spacing w:line="240" w:lineRule="auto"/>
        <w:rPr>
          <w:rFonts w:eastAsia="Times New Roman" w:cs="Georgia"/>
          <w:color w:val="000000"/>
          <w:szCs w:val="20"/>
          <w:lang w:val="en-US" w:eastAsia="zh-CN"/>
        </w:rPr>
      </w:pPr>
    </w:p>
    <w:p w:rsidR="00E41233" w:rsidRPr="007A2FEF" w:rsidRDefault="00E41233" w:rsidP="007A2FEF">
      <w:pPr>
        <w:pStyle w:val="ListParagraph"/>
        <w:numPr>
          <w:ilvl w:val="0"/>
          <w:numId w:val="3"/>
        </w:numPr>
        <w:autoSpaceDE w:val="0"/>
        <w:autoSpaceDN w:val="0"/>
        <w:adjustRightInd w:val="0"/>
        <w:spacing w:line="240" w:lineRule="auto"/>
        <w:rPr>
          <w:rFonts w:ascii="Georgia" w:hAnsi="Georgia" w:cs="Georgia"/>
          <w:sz w:val="20"/>
          <w:szCs w:val="20"/>
          <w:lang w:val="en-US"/>
        </w:rPr>
      </w:pPr>
      <w:r w:rsidRPr="007A2FEF">
        <w:rPr>
          <w:rFonts w:ascii="Georgia" w:hAnsi="Georgia" w:cs="Georgia"/>
          <w:sz w:val="20"/>
          <w:szCs w:val="20"/>
          <w:lang w:val="en-US"/>
        </w:rPr>
        <w:t xml:space="preserve">Low quality </w:t>
      </w:r>
      <w:r w:rsidR="007A2FEF" w:rsidRPr="007A2FEF">
        <w:rPr>
          <w:rFonts w:ascii="Georgia" w:hAnsi="Georgia" w:cs="Georgia"/>
          <w:sz w:val="20"/>
          <w:szCs w:val="20"/>
          <w:lang w:val="en-US"/>
        </w:rPr>
        <w:t xml:space="preserve">of </w:t>
      </w:r>
      <w:r w:rsidRPr="007A2FEF">
        <w:rPr>
          <w:rFonts w:ascii="Georgia" w:hAnsi="Georgia" w:cs="Georgia"/>
          <w:sz w:val="20"/>
          <w:szCs w:val="20"/>
          <w:lang w:val="en-US"/>
        </w:rPr>
        <w:t>‘hard’ infrastructure like roads and railways</w:t>
      </w:r>
    </w:p>
    <w:p w:rsidR="00E41233" w:rsidRPr="006030AF" w:rsidRDefault="00E41233" w:rsidP="00E41233">
      <w:pPr>
        <w:pStyle w:val="ListParagraph"/>
        <w:numPr>
          <w:ilvl w:val="0"/>
          <w:numId w:val="3"/>
        </w:numPr>
        <w:autoSpaceDE w:val="0"/>
        <w:autoSpaceDN w:val="0"/>
        <w:adjustRightInd w:val="0"/>
        <w:spacing w:line="240" w:lineRule="auto"/>
        <w:ind w:right="430"/>
        <w:rPr>
          <w:rFonts w:ascii="Georgia" w:hAnsi="Georgia" w:cs="Georgia"/>
          <w:sz w:val="20"/>
          <w:szCs w:val="20"/>
          <w:lang w:val="en-US"/>
        </w:rPr>
      </w:pPr>
      <w:r w:rsidRPr="006030AF">
        <w:rPr>
          <w:rFonts w:ascii="Georgia" w:hAnsi="Georgia" w:cs="Georgia"/>
          <w:sz w:val="20"/>
          <w:szCs w:val="20"/>
          <w:lang w:val="en-US"/>
        </w:rPr>
        <w:t>Inadequate ‘soft’ infrastructure like schools and universities, and</w:t>
      </w:r>
    </w:p>
    <w:p w:rsidR="00E41233" w:rsidRPr="006030AF" w:rsidRDefault="00E41233" w:rsidP="00E41233">
      <w:pPr>
        <w:pStyle w:val="ListParagraph"/>
        <w:numPr>
          <w:ilvl w:val="0"/>
          <w:numId w:val="3"/>
        </w:numPr>
        <w:autoSpaceDE w:val="0"/>
        <w:autoSpaceDN w:val="0"/>
        <w:adjustRightInd w:val="0"/>
        <w:spacing w:line="240" w:lineRule="auto"/>
        <w:ind w:right="430"/>
        <w:rPr>
          <w:rFonts w:ascii="Georgia" w:hAnsi="Georgia" w:cs="Georgia"/>
          <w:sz w:val="20"/>
          <w:szCs w:val="20"/>
          <w:lang w:val="en-US"/>
        </w:rPr>
      </w:pPr>
      <w:r w:rsidRPr="006030AF">
        <w:rPr>
          <w:rFonts w:ascii="Georgia" w:hAnsi="Georgia" w:cs="Georgia"/>
          <w:sz w:val="20"/>
          <w:szCs w:val="20"/>
          <w:lang w:val="en-US"/>
        </w:rPr>
        <w:t>Growing pains arising from political, legal and regulatory institutions struggling to deal with a bigger and more complicated economy.</w:t>
      </w:r>
    </w:p>
    <w:p w:rsidR="00E41233" w:rsidRPr="006030AF" w:rsidRDefault="00E41233" w:rsidP="00E41233">
      <w:pPr>
        <w:autoSpaceDE w:val="0"/>
        <w:autoSpaceDN w:val="0"/>
        <w:adjustRightInd w:val="0"/>
        <w:spacing w:line="240" w:lineRule="auto"/>
        <w:ind w:right="430"/>
        <w:rPr>
          <w:rFonts w:cs="Georgia"/>
          <w:szCs w:val="20"/>
          <w:lang w:val="en-US"/>
        </w:rPr>
      </w:pPr>
      <w:r w:rsidRPr="006030AF">
        <w:rPr>
          <w:rFonts w:cs="Georgia"/>
          <w:szCs w:val="20"/>
          <w:lang w:val="en-US"/>
        </w:rPr>
        <w:t>“The challenge that policymakers face is to convert Africa’s demographic dividend into economic reality by overcoming these hurdles. History suggests this will not be a quick or easy process</w:t>
      </w:r>
      <w:r w:rsidR="007A2FEF">
        <w:rPr>
          <w:rFonts w:cs="Georgia"/>
          <w:szCs w:val="20"/>
          <w:lang w:val="en-US"/>
        </w:rPr>
        <w:t xml:space="preserve">. However investors </w:t>
      </w:r>
      <w:r w:rsidR="00FA333B">
        <w:rPr>
          <w:rFonts w:cs="Georgia"/>
          <w:szCs w:val="20"/>
          <w:lang w:val="en-US"/>
        </w:rPr>
        <w:t>sh</w:t>
      </w:r>
      <w:r w:rsidR="007A2FEF">
        <w:rPr>
          <w:rFonts w:cs="Georgia"/>
          <w:szCs w:val="20"/>
          <w:lang w:val="en-US"/>
        </w:rPr>
        <w:t>ould form their own plans to mitigate these problems by supporting infrastructure skills and development programmes</w:t>
      </w:r>
      <w:r w:rsidRPr="006030AF">
        <w:rPr>
          <w:rFonts w:cs="Georgia"/>
          <w:szCs w:val="20"/>
          <w:lang w:val="en-US"/>
        </w:rPr>
        <w:t xml:space="preserve">,” </w:t>
      </w:r>
      <w:r w:rsidR="007A2FEF">
        <w:rPr>
          <w:rFonts w:cs="Georgia"/>
          <w:szCs w:val="20"/>
          <w:lang w:val="en-US"/>
        </w:rPr>
        <w:t>says</w:t>
      </w:r>
      <w:r w:rsidRPr="006030AF">
        <w:rPr>
          <w:rFonts w:cs="Georgia"/>
          <w:szCs w:val="20"/>
          <w:lang w:val="en-US"/>
        </w:rPr>
        <w:t xml:space="preserve"> </w:t>
      </w:r>
      <w:r w:rsidR="00FA333B">
        <w:rPr>
          <w:rFonts w:cs="Georgia"/>
          <w:szCs w:val="20"/>
          <w:lang w:val="en-US"/>
        </w:rPr>
        <w:t>Richard Boxshall</w:t>
      </w:r>
      <w:r w:rsidRPr="006030AF">
        <w:rPr>
          <w:rFonts w:cs="Georgia"/>
          <w:szCs w:val="20"/>
          <w:lang w:val="en-US"/>
        </w:rPr>
        <w:t>.</w:t>
      </w:r>
    </w:p>
    <w:bookmarkEnd w:id="0"/>
    <w:p w:rsidR="002D01FB" w:rsidRDefault="002D01FB" w:rsidP="005E10F1">
      <w:pPr>
        <w:autoSpaceDE w:val="0"/>
        <w:autoSpaceDN w:val="0"/>
        <w:adjustRightInd w:val="0"/>
        <w:spacing w:after="240" w:line="240" w:lineRule="auto"/>
        <w:ind w:right="430"/>
        <w:rPr>
          <w:rFonts w:cs="Georgia"/>
          <w:color w:val="000000"/>
          <w:sz w:val="22"/>
          <w:lang w:val="en-US"/>
        </w:rPr>
      </w:pPr>
    </w:p>
    <w:p w:rsidR="00B04BC3" w:rsidRPr="00196D17" w:rsidRDefault="00B04BC3" w:rsidP="005E10F1">
      <w:pPr>
        <w:autoSpaceDE w:val="0"/>
        <w:autoSpaceDN w:val="0"/>
        <w:adjustRightInd w:val="0"/>
        <w:spacing w:after="240" w:line="240" w:lineRule="auto"/>
        <w:ind w:right="430"/>
        <w:rPr>
          <w:rFonts w:cs="Georgia"/>
          <w:color w:val="000000"/>
          <w:sz w:val="22"/>
          <w:lang w:val="en-US"/>
        </w:rPr>
      </w:pPr>
    </w:p>
    <w:p w:rsidR="00E41233" w:rsidRDefault="006030AF" w:rsidP="006030AF">
      <w:pPr>
        <w:autoSpaceDE w:val="0"/>
        <w:autoSpaceDN w:val="0"/>
        <w:adjustRightInd w:val="0"/>
        <w:spacing w:after="240" w:line="240" w:lineRule="auto"/>
        <w:ind w:right="430"/>
        <w:jc w:val="right"/>
        <w:rPr>
          <w:b/>
          <w:sz w:val="22"/>
          <w:lang w:val="en-US"/>
        </w:rPr>
      </w:pPr>
      <w:r>
        <w:rPr>
          <w:b/>
          <w:sz w:val="22"/>
          <w:lang w:val="en-US"/>
        </w:rPr>
        <w:t>Ends</w:t>
      </w:r>
    </w:p>
    <w:p w:rsidR="00B04BC3" w:rsidRPr="00196D17" w:rsidRDefault="00B04BC3" w:rsidP="005E10F1">
      <w:pPr>
        <w:autoSpaceDE w:val="0"/>
        <w:autoSpaceDN w:val="0"/>
        <w:adjustRightInd w:val="0"/>
        <w:spacing w:after="240" w:line="240" w:lineRule="auto"/>
        <w:ind w:right="430"/>
        <w:rPr>
          <w:b/>
          <w:sz w:val="22"/>
          <w:lang w:val="en-US"/>
        </w:rPr>
      </w:pPr>
    </w:p>
    <w:p w:rsidR="003E6603" w:rsidRPr="006030AF" w:rsidRDefault="00D669A2" w:rsidP="005E10F1">
      <w:pPr>
        <w:tabs>
          <w:tab w:val="left" w:pos="2043"/>
        </w:tabs>
        <w:autoSpaceDE w:val="0"/>
        <w:autoSpaceDN w:val="0"/>
        <w:adjustRightInd w:val="0"/>
        <w:spacing w:line="240" w:lineRule="auto"/>
        <w:ind w:right="430"/>
        <w:rPr>
          <w:b/>
          <w:szCs w:val="20"/>
          <w:lang w:val="en-US"/>
        </w:rPr>
      </w:pPr>
      <w:r w:rsidRPr="006030AF">
        <w:rPr>
          <w:b/>
          <w:szCs w:val="20"/>
          <w:lang w:val="en-US"/>
        </w:rPr>
        <w:t>Notes</w:t>
      </w:r>
      <w:r w:rsidR="00196C57" w:rsidRPr="006030AF">
        <w:rPr>
          <w:b/>
          <w:szCs w:val="20"/>
          <w:lang w:val="en-US"/>
        </w:rPr>
        <w:t>:</w:t>
      </w:r>
      <w:r w:rsidR="00C76C70" w:rsidRPr="006030AF">
        <w:rPr>
          <w:b/>
          <w:szCs w:val="20"/>
          <w:lang w:val="en-US"/>
        </w:rPr>
        <w:t xml:space="preserve"> </w:t>
      </w:r>
    </w:p>
    <w:p w:rsidR="003E6603" w:rsidRPr="00B04BC3" w:rsidRDefault="006030AF" w:rsidP="00B04BC3">
      <w:pPr>
        <w:tabs>
          <w:tab w:val="left" w:pos="2043"/>
        </w:tabs>
        <w:autoSpaceDE w:val="0"/>
        <w:autoSpaceDN w:val="0"/>
        <w:adjustRightInd w:val="0"/>
        <w:spacing w:line="240" w:lineRule="auto"/>
        <w:ind w:right="430"/>
        <w:rPr>
          <w:szCs w:val="20"/>
          <w:lang w:val="en-US"/>
        </w:rPr>
      </w:pPr>
      <w:r w:rsidRPr="00B04BC3">
        <w:rPr>
          <w:szCs w:val="20"/>
          <w:lang w:val="en-US"/>
        </w:rPr>
        <w:t>The estimates of population growth and economic activity are based on the following key assumptions:</w:t>
      </w:r>
    </w:p>
    <w:p w:rsidR="006030AF" w:rsidRDefault="006030AF" w:rsidP="006030AF">
      <w:pPr>
        <w:pStyle w:val="ListParagraph"/>
        <w:numPr>
          <w:ilvl w:val="0"/>
          <w:numId w:val="4"/>
        </w:numPr>
        <w:tabs>
          <w:tab w:val="left" w:pos="2043"/>
        </w:tabs>
        <w:autoSpaceDE w:val="0"/>
        <w:autoSpaceDN w:val="0"/>
        <w:adjustRightInd w:val="0"/>
        <w:spacing w:line="240" w:lineRule="auto"/>
        <w:ind w:right="430"/>
        <w:rPr>
          <w:rFonts w:ascii="Georgia" w:hAnsi="Georgia"/>
          <w:sz w:val="20"/>
          <w:szCs w:val="20"/>
          <w:lang w:val="en-US"/>
        </w:rPr>
      </w:pPr>
      <w:r w:rsidRPr="006030AF">
        <w:rPr>
          <w:rFonts w:ascii="Georgia" w:hAnsi="Georgia"/>
          <w:sz w:val="20"/>
          <w:szCs w:val="20"/>
          <w:lang w:val="en-US"/>
        </w:rPr>
        <w:t>National GDP</w:t>
      </w:r>
      <w:r>
        <w:rPr>
          <w:rFonts w:ascii="Georgia" w:hAnsi="Georgia"/>
          <w:sz w:val="20"/>
          <w:szCs w:val="20"/>
          <w:lang w:val="en-US"/>
        </w:rPr>
        <w:t xml:space="preserve"> growth rates follow those projected by the IMF in its latest World Economic Outlook report (which do not take into account the latest Nigerian GDP rebasing)</w:t>
      </w:r>
    </w:p>
    <w:p w:rsidR="006030AF" w:rsidRDefault="006030AF" w:rsidP="006030AF">
      <w:pPr>
        <w:pStyle w:val="ListParagraph"/>
        <w:numPr>
          <w:ilvl w:val="0"/>
          <w:numId w:val="4"/>
        </w:numPr>
        <w:tabs>
          <w:tab w:val="left" w:pos="2043"/>
        </w:tabs>
        <w:autoSpaceDE w:val="0"/>
        <w:autoSpaceDN w:val="0"/>
        <w:adjustRightInd w:val="0"/>
        <w:spacing w:line="240" w:lineRule="auto"/>
        <w:ind w:right="430"/>
        <w:rPr>
          <w:rFonts w:ascii="Georgia" w:hAnsi="Georgia"/>
          <w:sz w:val="20"/>
          <w:szCs w:val="20"/>
          <w:lang w:val="en-US"/>
        </w:rPr>
      </w:pPr>
      <w:r>
        <w:rPr>
          <w:rFonts w:ascii="Georgia" w:hAnsi="Georgia"/>
          <w:sz w:val="20"/>
          <w:szCs w:val="20"/>
          <w:lang w:val="en-US"/>
        </w:rPr>
        <w:t>City GDP per capita grows in line with the rest of the country</w:t>
      </w:r>
      <w:r w:rsidR="00B04BC3">
        <w:rPr>
          <w:rFonts w:ascii="Georgia" w:hAnsi="Georgia"/>
          <w:sz w:val="20"/>
          <w:szCs w:val="20"/>
          <w:lang w:val="en-US"/>
        </w:rPr>
        <w:t xml:space="preserve"> (which may be a conservative assumption)</w:t>
      </w:r>
    </w:p>
    <w:p w:rsidR="00B04BC3" w:rsidRDefault="00B04BC3" w:rsidP="006030AF">
      <w:pPr>
        <w:pStyle w:val="ListParagraph"/>
        <w:numPr>
          <w:ilvl w:val="0"/>
          <w:numId w:val="4"/>
        </w:numPr>
        <w:tabs>
          <w:tab w:val="left" w:pos="2043"/>
        </w:tabs>
        <w:autoSpaceDE w:val="0"/>
        <w:autoSpaceDN w:val="0"/>
        <w:adjustRightInd w:val="0"/>
        <w:spacing w:line="240" w:lineRule="auto"/>
        <w:ind w:right="430"/>
        <w:rPr>
          <w:rFonts w:ascii="Georgia" w:hAnsi="Georgia"/>
          <w:sz w:val="20"/>
          <w:szCs w:val="20"/>
          <w:lang w:val="en-US"/>
        </w:rPr>
      </w:pPr>
      <w:r>
        <w:rPr>
          <w:rFonts w:ascii="Georgia" w:hAnsi="Georgia"/>
          <w:sz w:val="20"/>
          <w:szCs w:val="20"/>
          <w:lang w:val="en-US"/>
        </w:rPr>
        <w:t>Constant real exchange rates, which could also be a relatively conservative assumption given that real exchange rates might be expected to rise in the long run in dollar terms for emerging economies with relatively rapid productivity growth.</w:t>
      </w:r>
    </w:p>
    <w:p w:rsidR="00B04BC3" w:rsidRDefault="00B04BC3" w:rsidP="00B04BC3">
      <w:pPr>
        <w:tabs>
          <w:tab w:val="left" w:pos="2043"/>
        </w:tabs>
        <w:autoSpaceDE w:val="0"/>
        <w:autoSpaceDN w:val="0"/>
        <w:adjustRightInd w:val="0"/>
        <w:spacing w:line="240" w:lineRule="auto"/>
        <w:ind w:right="430"/>
        <w:rPr>
          <w:szCs w:val="20"/>
          <w:lang w:val="en-US"/>
        </w:rPr>
      </w:pPr>
      <w:r>
        <w:rPr>
          <w:szCs w:val="20"/>
          <w:lang w:val="en-US"/>
        </w:rPr>
        <w:t xml:space="preserve">The </w:t>
      </w:r>
      <w:r w:rsidR="00A21514">
        <w:rPr>
          <w:szCs w:val="20"/>
          <w:lang w:val="en-US"/>
        </w:rPr>
        <w:t xml:space="preserve">report on Sub-Saharan Africa in the </w:t>
      </w:r>
      <w:r>
        <w:rPr>
          <w:szCs w:val="20"/>
          <w:lang w:val="en-US"/>
        </w:rPr>
        <w:t xml:space="preserve">August edition of PwC’s </w:t>
      </w:r>
      <w:r w:rsidRPr="00A21514">
        <w:rPr>
          <w:i/>
          <w:szCs w:val="20"/>
          <w:lang w:val="en-US"/>
        </w:rPr>
        <w:t>Global Economy Watch</w:t>
      </w:r>
      <w:r>
        <w:rPr>
          <w:szCs w:val="20"/>
          <w:lang w:val="en-US"/>
        </w:rPr>
        <w:t xml:space="preserve"> can be found at </w:t>
      </w:r>
      <w:hyperlink r:id="rId11" w:history="1">
        <w:r w:rsidR="00A21514" w:rsidRPr="00F232F9">
          <w:rPr>
            <w:rStyle w:val="Hyperlink"/>
            <w:szCs w:val="20"/>
            <w:lang w:val="en-US"/>
          </w:rPr>
          <w:t>www.pwc.com/gew</w:t>
        </w:r>
      </w:hyperlink>
    </w:p>
    <w:p w:rsidR="00A21514" w:rsidRPr="00B04BC3" w:rsidRDefault="00A21514" w:rsidP="00B04BC3">
      <w:pPr>
        <w:tabs>
          <w:tab w:val="left" w:pos="2043"/>
        </w:tabs>
        <w:autoSpaceDE w:val="0"/>
        <w:autoSpaceDN w:val="0"/>
        <w:adjustRightInd w:val="0"/>
        <w:spacing w:line="240" w:lineRule="auto"/>
        <w:ind w:right="430"/>
        <w:rPr>
          <w:szCs w:val="20"/>
          <w:lang w:val="en-US"/>
        </w:rPr>
      </w:pPr>
    </w:p>
    <w:p w:rsidR="00540E97" w:rsidRPr="006030AF" w:rsidRDefault="00540E97" w:rsidP="005E10F1">
      <w:pPr>
        <w:pStyle w:val="NormalWeb"/>
        <w:spacing w:before="0" w:beforeAutospacing="0" w:after="0" w:afterAutospacing="0"/>
        <w:ind w:right="430"/>
        <w:rPr>
          <w:rFonts w:ascii="Georgia" w:hAnsi="Georgia"/>
          <w:b/>
          <w:sz w:val="20"/>
          <w:szCs w:val="20"/>
        </w:rPr>
      </w:pPr>
    </w:p>
    <w:p w:rsidR="00540E97" w:rsidRPr="006030AF" w:rsidRDefault="00540E97" w:rsidP="005E10F1">
      <w:pPr>
        <w:pStyle w:val="NormalWeb"/>
        <w:spacing w:before="0" w:beforeAutospacing="0" w:after="0" w:afterAutospacing="0"/>
        <w:ind w:right="430"/>
        <w:rPr>
          <w:rFonts w:ascii="Georgia" w:hAnsi="Georgia"/>
          <w:sz w:val="20"/>
          <w:szCs w:val="20"/>
        </w:rPr>
      </w:pPr>
      <w:r w:rsidRPr="006030AF">
        <w:rPr>
          <w:rFonts w:ascii="Georgia" w:hAnsi="Georgia"/>
          <w:b/>
          <w:sz w:val="20"/>
          <w:szCs w:val="20"/>
        </w:rPr>
        <w:t xml:space="preserve">About PwC </w:t>
      </w:r>
    </w:p>
    <w:p w:rsidR="00540E97" w:rsidRPr="006030AF" w:rsidRDefault="00540E97" w:rsidP="005E10F1">
      <w:pPr>
        <w:spacing w:line="240" w:lineRule="auto"/>
        <w:ind w:right="430"/>
        <w:rPr>
          <w:szCs w:val="20"/>
        </w:rPr>
      </w:pPr>
      <w:r w:rsidRPr="006030AF">
        <w:rPr>
          <w:bCs/>
          <w:szCs w:val="20"/>
        </w:rPr>
        <w:t>P</w:t>
      </w:r>
      <w:r w:rsidRPr="006030AF">
        <w:rPr>
          <w:szCs w:val="20"/>
        </w:rPr>
        <w:t xml:space="preserve">wC helps organisations and individuals create the value they’re looking for. We’re a network of firms in 157 countries with more than 184,000 people who are committed to delivering quality in assurance, tax and advisory services. Tell us what matters to you and find out more by visiting us at </w:t>
      </w:r>
      <w:hyperlink r:id="rId12" w:history="1">
        <w:r w:rsidRPr="006030AF">
          <w:rPr>
            <w:rStyle w:val="Hyperlink"/>
            <w:szCs w:val="20"/>
          </w:rPr>
          <w:t>www.pwc.com</w:t>
        </w:r>
      </w:hyperlink>
      <w:r w:rsidRPr="006030AF">
        <w:rPr>
          <w:szCs w:val="20"/>
        </w:rPr>
        <w:t>.</w:t>
      </w:r>
    </w:p>
    <w:p w:rsidR="00540E97" w:rsidRPr="006030AF" w:rsidRDefault="00540E97" w:rsidP="005E10F1">
      <w:pPr>
        <w:pStyle w:val="NormalWeb"/>
        <w:ind w:right="430"/>
        <w:rPr>
          <w:rFonts w:ascii="Georgia" w:hAnsi="Georgia"/>
          <w:sz w:val="20"/>
          <w:szCs w:val="20"/>
          <w:lang w:val="en-GB"/>
        </w:rPr>
      </w:pPr>
      <w:r w:rsidRPr="006030AF">
        <w:rPr>
          <w:rFonts w:ascii="Georgia" w:hAnsi="Georgia"/>
          <w:sz w:val="20"/>
          <w:szCs w:val="20"/>
          <w:lang w:val="en-GB"/>
        </w:rPr>
        <w:t xml:space="preserve">PwC refers to the PwC network and/or one or more of its member firms, each of which is a separate legal entity. Please see www.pwc.com/structure for further details. </w:t>
      </w:r>
    </w:p>
    <w:p w:rsidR="00540E97" w:rsidRPr="006030AF" w:rsidRDefault="00E067D5" w:rsidP="005E10F1">
      <w:pPr>
        <w:pStyle w:val="NormalWeb"/>
        <w:ind w:right="430"/>
        <w:rPr>
          <w:rFonts w:ascii="Georgia" w:hAnsi="Georgia"/>
          <w:b/>
          <w:sz w:val="20"/>
          <w:szCs w:val="20"/>
          <w:lang w:eastAsia="en-GB"/>
        </w:rPr>
      </w:pPr>
      <w:r>
        <w:rPr>
          <w:rFonts w:ascii="Georgia" w:hAnsi="Georgia" w:cs="Arial"/>
          <w:color w:val="000000"/>
          <w:sz w:val="20"/>
          <w:szCs w:val="20"/>
        </w:rPr>
        <w:t>©</w:t>
      </w:r>
      <w:r w:rsidR="00540E97" w:rsidRPr="006030AF">
        <w:rPr>
          <w:rFonts w:ascii="Georgia" w:hAnsi="Georgia" w:cs="Arial"/>
          <w:color w:val="000000"/>
          <w:sz w:val="20"/>
          <w:szCs w:val="20"/>
        </w:rPr>
        <w:t>2014 PricewaterhouseCoopers. All rights reserved.</w:t>
      </w:r>
    </w:p>
    <w:p w:rsidR="002D01FB" w:rsidRPr="006030AF" w:rsidRDefault="002D01FB" w:rsidP="002D01FB">
      <w:pPr>
        <w:pStyle w:val="BodyText"/>
        <w:rPr>
          <w:szCs w:val="20"/>
        </w:rPr>
      </w:pPr>
    </w:p>
    <w:p w:rsidR="002D01FB" w:rsidRPr="006030AF" w:rsidRDefault="002D01FB">
      <w:pPr>
        <w:autoSpaceDE w:val="0"/>
        <w:autoSpaceDN w:val="0"/>
        <w:adjustRightInd w:val="0"/>
        <w:rPr>
          <w:rFonts w:eastAsia="SimSun"/>
          <w:b/>
          <w:bCs/>
          <w:color w:val="000000"/>
          <w:szCs w:val="20"/>
          <w:lang w:eastAsia="zh-CN"/>
        </w:rPr>
      </w:pPr>
    </w:p>
    <w:sectPr w:rsidR="002D01FB" w:rsidRPr="006030AF" w:rsidSect="00734D7A">
      <w:headerReference w:type="even" r:id="rId13"/>
      <w:headerReference w:type="default" r:id="rId14"/>
      <w:footerReference w:type="even" r:id="rId15"/>
      <w:footerReference w:type="default" r:id="rId16"/>
      <w:headerReference w:type="first" r:id="rId17"/>
      <w:footerReference w:type="first" r:id="rId18"/>
      <w:pgSz w:w="11907" w:h="16839"/>
      <w:pgMar w:top="3139" w:right="850" w:bottom="1411" w:left="1987" w:header="562"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7B8" w:rsidRDefault="000C37B8">
      <w:pPr>
        <w:spacing w:line="240" w:lineRule="auto"/>
      </w:pPr>
      <w:r>
        <w:separator/>
      </w:r>
    </w:p>
  </w:endnote>
  <w:endnote w:type="continuationSeparator" w:id="0">
    <w:p w:rsidR="000C37B8" w:rsidRDefault="000C37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D7A" w:rsidRDefault="00051186">
    <w:pPr>
      <w:pStyle w:val="Footer"/>
    </w:pPr>
    <w:r>
      <w:fldChar w:fldCharType="begin"/>
    </w:r>
    <w:r>
      <w:instrText xml:space="preserve"> PAGE  \* MERGEFORMAT </w:instrText>
    </w:r>
    <w:r>
      <w:fldChar w:fldCharType="separate"/>
    </w:r>
    <w:r w:rsidR="00936908">
      <w:rPr>
        <w:noProof/>
      </w:rPr>
      <w:t>2</w:t>
    </w:r>
    <w:r>
      <w:rPr>
        <w:noProof/>
      </w:rPr>
      <w:fldChar w:fldCharType="end"/>
    </w:r>
    <w:r w:rsidR="003B31B9">
      <w:t xml:space="preserve"> of </w:t>
    </w:r>
    <w:r w:rsidR="000C37B8">
      <w:fldChar w:fldCharType="begin"/>
    </w:r>
    <w:r w:rsidR="000C37B8">
      <w:instrText xml:space="preserve"> NUMPAGES  \* MERGEFORMAT </w:instrText>
    </w:r>
    <w:r w:rsidR="000C37B8">
      <w:fldChar w:fldCharType="separate"/>
    </w:r>
    <w:r w:rsidR="00936908">
      <w:rPr>
        <w:noProof/>
      </w:rPr>
      <w:t>3</w:t>
    </w:r>
    <w:r w:rsidR="000C37B8">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D7A" w:rsidRDefault="00051186">
    <w:pPr>
      <w:pStyle w:val="Footer"/>
    </w:pPr>
    <w:r>
      <w:fldChar w:fldCharType="begin"/>
    </w:r>
    <w:r>
      <w:instrText xml:space="preserve"> PAGE  \* MERGEFORMAT </w:instrText>
    </w:r>
    <w:r>
      <w:fldChar w:fldCharType="separate"/>
    </w:r>
    <w:r w:rsidR="00936908">
      <w:rPr>
        <w:noProof/>
      </w:rPr>
      <w:t>3</w:t>
    </w:r>
    <w:r>
      <w:rPr>
        <w:noProof/>
      </w:rPr>
      <w:fldChar w:fldCharType="end"/>
    </w:r>
    <w:r w:rsidR="003B31B9">
      <w:t xml:space="preserve"> of </w:t>
    </w:r>
    <w:r w:rsidR="000C37B8">
      <w:fldChar w:fldCharType="begin"/>
    </w:r>
    <w:r w:rsidR="000C37B8">
      <w:instrText xml:space="preserve"> NUMPAGES  \* MERGEFORMAT </w:instrText>
    </w:r>
    <w:r w:rsidR="000C37B8">
      <w:fldChar w:fldCharType="separate"/>
    </w:r>
    <w:r w:rsidR="00936908">
      <w:rPr>
        <w:noProof/>
      </w:rPr>
      <w:t>3</w:t>
    </w:r>
    <w:r w:rsidR="000C37B8">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D7A" w:rsidRDefault="003B31B9">
    <w:pPr>
      <w:pStyle w:val="Address"/>
    </w:pPr>
    <w:bookmarkStart w:id="1" w:name="FirstPageFooter"/>
    <w:bookmarkEnd w:id="1"/>
    <w:r>
      <w:t>PricewaterhouseCoopers International, No 1 Embankment Place, London, WC2N 6RH</w:t>
    </w:r>
  </w:p>
  <w:p w:rsidR="00734D7A" w:rsidRDefault="003B31B9">
    <w:pPr>
      <w:pStyle w:val="Address"/>
    </w:pPr>
    <w:r>
      <w:t>Tel:  0207 583 5000, www.pwc.com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7B8" w:rsidRDefault="000C37B8">
      <w:pPr>
        <w:spacing w:line="240" w:lineRule="auto"/>
      </w:pPr>
      <w:r>
        <w:separator/>
      </w:r>
    </w:p>
  </w:footnote>
  <w:footnote w:type="continuationSeparator" w:id="0">
    <w:p w:rsidR="000C37B8" w:rsidRDefault="000C37B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D7A" w:rsidRDefault="003B31B9">
    <w:pPr>
      <w:pStyle w:val="Header"/>
    </w:pPr>
    <w:r>
      <w:rPr>
        <w:noProof/>
        <w:lang w:val="en-US"/>
      </w:rPr>
      <w:drawing>
        <wp:anchor distT="0" distB="0" distL="114300" distR="114300" simplePos="0" relativeHeight="251658752"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rsidR="00734D7A" w:rsidRDefault="00734D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D7A" w:rsidRDefault="003B31B9">
    <w:pPr>
      <w:pStyle w:val="Header"/>
    </w:pPr>
    <w:r>
      <w:rPr>
        <w:noProof/>
        <w:lang w:val="en-US"/>
      </w:rPr>
      <w:drawing>
        <wp:anchor distT="0" distB="0" distL="114300" distR="114300" simplePos="0" relativeHeight="251657728"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rsidR="00734D7A" w:rsidRDefault="00734D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D7A" w:rsidRDefault="003B31B9">
    <w:pPr>
      <w:pStyle w:val="Header"/>
    </w:pPr>
    <w:r>
      <w:rPr>
        <w:noProof/>
        <w:lang w:val="en-US"/>
      </w:rPr>
      <w:drawing>
        <wp:anchor distT="0" distB="0" distL="114300" distR="114300" simplePos="0" relativeHeight="251656704"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3"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0430"/>
    <w:multiLevelType w:val="hybridMultilevel"/>
    <w:tmpl w:val="86980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EE4773"/>
    <w:multiLevelType w:val="hybridMultilevel"/>
    <w:tmpl w:val="8E946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520BDB"/>
    <w:multiLevelType w:val="hybridMultilevel"/>
    <w:tmpl w:val="078AB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B366F7F"/>
    <w:multiLevelType w:val="hybridMultilevel"/>
    <w:tmpl w:val="6AE0A0F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771D5327"/>
    <w:multiLevelType w:val="hybridMultilevel"/>
    <w:tmpl w:val="70ECAA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ttachedTemplate r:id="rId1"/>
  <w:trackRevision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D7A"/>
    <w:rsid w:val="00007B3A"/>
    <w:rsid w:val="00017857"/>
    <w:rsid w:val="00051186"/>
    <w:rsid w:val="00054881"/>
    <w:rsid w:val="000C37B8"/>
    <w:rsid w:val="000C44D3"/>
    <w:rsid w:val="000E5A02"/>
    <w:rsid w:val="000F3FA7"/>
    <w:rsid w:val="0016742F"/>
    <w:rsid w:val="00183EAA"/>
    <w:rsid w:val="00196C57"/>
    <w:rsid w:val="00196D17"/>
    <w:rsid w:val="001A6880"/>
    <w:rsid w:val="001C61FB"/>
    <w:rsid w:val="00213D01"/>
    <w:rsid w:val="00223511"/>
    <w:rsid w:val="00235A51"/>
    <w:rsid w:val="00260538"/>
    <w:rsid w:val="0027774E"/>
    <w:rsid w:val="00290F44"/>
    <w:rsid w:val="002949BD"/>
    <w:rsid w:val="00297219"/>
    <w:rsid w:val="002B33E4"/>
    <w:rsid w:val="002D01FB"/>
    <w:rsid w:val="00310E2B"/>
    <w:rsid w:val="00335E5A"/>
    <w:rsid w:val="00345F31"/>
    <w:rsid w:val="0038785C"/>
    <w:rsid w:val="00392A33"/>
    <w:rsid w:val="003B31B9"/>
    <w:rsid w:val="003D5114"/>
    <w:rsid w:val="003D6E63"/>
    <w:rsid w:val="003E6603"/>
    <w:rsid w:val="00444540"/>
    <w:rsid w:val="004A07BD"/>
    <w:rsid w:val="004C32DE"/>
    <w:rsid w:val="004F3942"/>
    <w:rsid w:val="00540E97"/>
    <w:rsid w:val="0056284F"/>
    <w:rsid w:val="005A1160"/>
    <w:rsid w:val="005E10F1"/>
    <w:rsid w:val="006030AF"/>
    <w:rsid w:val="0063694A"/>
    <w:rsid w:val="00651063"/>
    <w:rsid w:val="00663A9B"/>
    <w:rsid w:val="00682E7D"/>
    <w:rsid w:val="00714689"/>
    <w:rsid w:val="00722724"/>
    <w:rsid w:val="00734D7A"/>
    <w:rsid w:val="00786047"/>
    <w:rsid w:val="007A2FEF"/>
    <w:rsid w:val="008263C1"/>
    <w:rsid w:val="00832C2A"/>
    <w:rsid w:val="0083618E"/>
    <w:rsid w:val="00875FA7"/>
    <w:rsid w:val="008A7070"/>
    <w:rsid w:val="008B308F"/>
    <w:rsid w:val="008E226A"/>
    <w:rsid w:val="009324FA"/>
    <w:rsid w:val="00936908"/>
    <w:rsid w:val="009C5FEA"/>
    <w:rsid w:val="009E37FE"/>
    <w:rsid w:val="00A21514"/>
    <w:rsid w:val="00A757C2"/>
    <w:rsid w:val="00B04BC3"/>
    <w:rsid w:val="00B127DA"/>
    <w:rsid w:val="00B13C6E"/>
    <w:rsid w:val="00B67D8E"/>
    <w:rsid w:val="00B95400"/>
    <w:rsid w:val="00BA7E20"/>
    <w:rsid w:val="00C76C70"/>
    <w:rsid w:val="00C877C1"/>
    <w:rsid w:val="00D516F9"/>
    <w:rsid w:val="00D669A2"/>
    <w:rsid w:val="00DB1535"/>
    <w:rsid w:val="00DC1F72"/>
    <w:rsid w:val="00E067D5"/>
    <w:rsid w:val="00E3795A"/>
    <w:rsid w:val="00E41233"/>
    <w:rsid w:val="00E536E3"/>
    <w:rsid w:val="00EB2380"/>
    <w:rsid w:val="00EE5CC0"/>
    <w:rsid w:val="00F562FD"/>
    <w:rsid w:val="00F768B8"/>
    <w:rsid w:val="00FA333B"/>
    <w:rsid w:val="00FF3E39"/>
    <w:rsid w:val="00FF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D7A"/>
    <w:pPr>
      <w:spacing w:line="240" w:lineRule="atLeast"/>
    </w:pPr>
    <w:rPr>
      <w:rFonts w:ascii="Georgia" w:hAnsi="Georgia"/>
      <w:sz w:val="20"/>
      <w:lang w:val="en-GB"/>
    </w:rPr>
  </w:style>
  <w:style w:type="paragraph" w:styleId="Heading1">
    <w:name w:val="heading 1"/>
    <w:basedOn w:val="Normal"/>
    <w:next w:val="Normal"/>
    <w:link w:val="Heading1Char"/>
    <w:uiPriority w:val="99"/>
    <w:qFormat/>
    <w:rsid w:val="00734D7A"/>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4D7A"/>
    <w:rPr>
      <w:rFonts w:ascii="Cambria" w:hAnsi="Cambria" w:cs="Times New Roman"/>
      <w:b/>
      <w:bCs/>
      <w:kern w:val="32"/>
      <w:sz w:val="32"/>
      <w:szCs w:val="32"/>
    </w:rPr>
  </w:style>
  <w:style w:type="paragraph" w:styleId="Header">
    <w:name w:val="header"/>
    <w:basedOn w:val="Normal"/>
    <w:link w:val="HeaderChar"/>
    <w:rsid w:val="00734D7A"/>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734D7A"/>
    <w:rPr>
      <w:rFonts w:cs="Times New Roman"/>
    </w:rPr>
  </w:style>
  <w:style w:type="paragraph" w:styleId="Footer">
    <w:name w:val="footer"/>
    <w:basedOn w:val="Normal"/>
    <w:link w:val="FooterChar"/>
    <w:uiPriority w:val="99"/>
    <w:semiHidden/>
    <w:rsid w:val="00734D7A"/>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734D7A"/>
    <w:rPr>
      <w:rFonts w:cs="Times New Roman"/>
    </w:rPr>
  </w:style>
  <w:style w:type="paragraph" w:styleId="BodyText">
    <w:name w:val="Body Text"/>
    <w:basedOn w:val="Normal"/>
    <w:link w:val="BodyTextChar"/>
    <w:uiPriority w:val="99"/>
    <w:rsid w:val="00734D7A"/>
    <w:pPr>
      <w:spacing w:after="240"/>
    </w:pPr>
  </w:style>
  <w:style w:type="character" w:customStyle="1" w:styleId="BodyTextChar">
    <w:name w:val="Body Text Char"/>
    <w:basedOn w:val="DefaultParagraphFont"/>
    <w:link w:val="BodyText"/>
    <w:uiPriority w:val="99"/>
    <w:locked/>
    <w:rsid w:val="00734D7A"/>
    <w:rPr>
      <w:rFonts w:ascii="Georgia" w:hAnsi="Georgia" w:cs="Times New Roman"/>
      <w:sz w:val="20"/>
    </w:rPr>
  </w:style>
  <w:style w:type="paragraph" w:styleId="Title">
    <w:name w:val="Title"/>
    <w:basedOn w:val="Normal"/>
    <w:next w:val="Normal"/>
    <w:link w:val="TitleChar"/>
    <w:uiPriority w:val="99"/>
    <w:qFormat/>
    <w:rsid w:val="00734D7A"/>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734D7A"/>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734D7A"/>
    <w:pPr>
      <w:spacing w:line="200" w:lineRule="atLeast"/>
    </w:pPr>
    <w:rPr>
      <w:i/>
      <w:sz w:val="18"/>
    </w:rPr>
  </w:style>
  <w:style w:type="character" w:customStyle="1" w:styleId="AddressChar">
    <w:name w:val="Address Char"/>
    <w:basedOn w:val="DefaultParagraphFont"/>
    <w:link w:val="Address"/>
    <w:uiPriority w:val="99"/>
    <w:locked/>
    <w:rsid w:val="00734D7A"/>
    <w:rPr>
      <w:rFonts w:ascii="Georgia" w:hAnsi="Georgia" w:cs="Times New Roman"/>
      <w:i/>
      <w:sz w:val="18"/>
    </w:rPr>
  </w:style>
  <w:style w:type="paragraph" w:customStyle="1" w:styleId="Disclaimer">
    <w:name w:val="Disclaimer"/>
    <w:basedOn w:val="Normal"/>
    <w:link w:val="DisclaimerChar"/>
    <w:uiPriority w:val="99"/>
    <w:rsid w:val="00734D7A"/>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734D7A"/>
    <w:rPr>
      <w:rFonts w:ascii="Arial" w:hAnsi="Arial" w:cs="Arial"/>
      <w:sz w:val="12"/>
    </w:rPr>
  </w:style>
  <w:style w:type="paragraph" w:styleId="BalloonText">
    <w:name w:val="Balloon Text"/>
    <w:basedOn w:val="Normal"/>
    <w:link w:val="BalloonTextChar"/>
    <w:uiPriority w:val="99"/>
    <w:semiHidden/>
    <w:rsid w:val="00734D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4D7A"/>
    <w:rPr>
      <w:rFonts w:ascii="Tahoma" w:hAnsi="Tahoma" w:cs="Tahoma"/>
      <w:sz w:val="16"/>
      <w:szCs w:val="16"/>
      <w:lang w:eastAsia="en-US"/>
    </w:rPr>
  </w:style>
  <w:style w:type="character" w:styleId="Hyperlink">
    <w:name w:val="Hyperlink"/>
    <w:basedOn w:val="DefaultParagraphFont"/>
    <w:uiPriority w:val="99"/>
    <w:rsid w:val="00734D7A"/>
    <w:rPr>
      <w:rFonts w:cs="Times New Roman"/>
      <w:color w:val="0000FF"/>
      <w:u w:val="single"/>
    </w:rPr>
  </w:style>
  <w:style w:type="paragraph" w:styleId="NormalWeb">
    <w:name w:val="Normal (Web)"/>
    <w:basedOn w:val="Normal"/>
    <w:unhideWhenUsed/>
    <w:rsid w:val="00734D7A"/>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locked/>
    <w:rsid w:val="00734D7A"/>
    <w:rPr>
      <w:b/>
      <w:bCs/>
    </w:rPr>
  </w:style>
  <w:style w:type="paragraph" w:styleId="BodyText3">
    <w:name w:val="Body Text 3"/>
    <w:basedOn w:val="Normal"/>
    <w:link w:val="BodyText3Char"/>
    <w:uiPriority w:val="99"/>
    <w:unhideWhenUsed/>
    <w:rsid w:val="00734D7A"/>
    <w:pPr>
      <w:spacing w:after="120"/>
    </w:pPr>
    <w:rPr>
      <w:sz w:val="16"/>
      <w:szCs w:val="16"/>
    </w:rPr>
  </w:style>
  <w:style w:type="character" w:customStyle="1" w:styleId="BodyText3Char">
    <w:name w:val="Body Text 3 Char"/>
    <w:basedOn w:val="DefaultParagraphFont"/>
    <w:link w:val="BodyText3"/>
    <w:uiPriority w:val="99"/>
    <w:rsid w:val="00734D7A"/>
    <w:rPr>
      <w:rFonts w:ascii="Georgia" w:hAnsi="Georgia"/>
      <w:sz w:val="16"/>
      <w:szCs w:val="16"/>
      <w:lang w:val="en-GB"/>
    </w:rPr>
  </w:style>
  <w:style w:type="paragraph" w:customStyle="1" w:styleId="ReleaseBodyText">
    <w:name w:val="Release Body Text"/>
    <w:rsid w:val="002D01FB"/>
    <w:rPr>
      <w:rFonts w:ascii="Arial" w:eastAsia="Times New Roman" w:hAnsi="Arial" w:cs="Arial"/>
      <w:sz w:val="20"/>
      <w:szCs w:val="20"/>
      <w:lang w:val="en-GB"/>
    </w:rPr>
  </w:style>
  <w:style w:type="paragraph" w:styleId="ListParagraph">
    <w:name w:val="List Paragraph"/>
    <w:basedOn w:val="Normal"/>
    <w:uiPriority w:val="34"/>
    <w:unhideWhenUsed/>
    <w:qFormat/>
    <w:rsid w:val="00D669A2"/>
    <w:pPr>
      <w:spacing w:after="240"/>
      <w:ind w:left="720"/>
      <w:contextualSpacing/>
    </w:pPr>
    <w:rPr>
      <w:rFonts w:ascii="Calibri" w:eastAsia="Times New Roman" w:hAnsi="Calibri"/>
      <w:color w:val="000000"/>
      <w:sz w:val="21"/>
      <w:szCs w:val="21"/>
      <w:lang w:eastAsia="zh-CN"/>
    </w:rPr>
  </w:style>
  <w:style w:type="paragraph" w:styleId="Revision">
    <w:name w:val="Revision"/>
    <w:hidden/>
    <w:uiPriority w:val="99"/>
    <w:semiHidden/>
    <w:rsid w:val="00392A33"/>
    <w:rPr>
      <w:rFonts w:ascii="Georgia" w:hAnsi="Georgia"/>
      <w:sz w:val="20"/>
      <w:lang w:val="en-GB"/>
    </w:rPr>
  </w:style>
  <w:style w:type="character" w:styleId="FollowedHyperlink">
    <w:name w:val="FollowedHyperlink"/>
    <w:basedOn w:val="DefaultParagraphFont"/>
    <w:uiPriority w:val="99"/>
    <w:semiHidden/>
    <w:unhideWhenUsed/>
    <w:rsid w:val="003E660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D7A"/>
    <w:pPr>
      <w:spacing w:line="240" w:lineRule="atLeast"/>
    </w:pPr>
    <w:rPr>
      <w:rFonts w:ascii="Georgia" w:hAnsi="Georgia"/>
      <w:sz w:val="20"/>
      <w:lang w:val="en-GB"/>
    </w:rPr>
  </w:style>
  <w:style w:type="paragraph" w:styleId="Heading1">
    <w:name w:val="heading 1"/>
    <w:basedOn w:val="Normal"/>
    <w:next w:val="Normal"/>
    <w:link w:val="Heading1Char"/>
    <w:uiPriority w:val="99"/>
    <w:qFormat/>
    <w:rsid w:val="00734D7A"/>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4D7A"/>
    <w:rPr>
      <w:rFonts w:ascii="Cambria" w:hAnsi="Cambria" w:cs="Times New Roman"/>
      <w:b/>
      <w:bCs/>
      <w:kern w:val="32"/>
      <w:sz w:val="32"/>
      <w:szCs w:val="32"/>
    </w:rPr>
  </w:style>
  <w:style w:type="paragraph" w:styleId="Header">
    <w:name w:val="header"/>
    <w:basedOn w:val="Normal"/>
    <w:link w:val="HeaderChar"/>
    <w:rsid w:val="00734D7A"/>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734D7A"/>
    <w:rPr>
      <w:rFonts w:cs="Times New Roman"/>
    </w:rPr>
  </w:style>
  <w:style w:type="paragraph" w:styleId="Footer">
    <w:name w:val="footer"/>
    <w:basedOn w:val="Normal"/>
    <w:link w:val="FooterChar"/>
    <w:uiPriority w:val="99"/>
    <w:semiHidden/>
    <w:rsid w:val="00734D7A"/>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734D7A"/>
    <w:rPr>
      <w:rFonts w:cs="Times New Roman"/>
    </w:rPr>
  </w:style>
  <w:style w:type="paragraph" w:styleId="BodyText">
    <w:name w:val="Body Text"/>
    <w:basedOn w:val="Normal"/>
    <w:link w:val="BodyTextChar"/>
    <w:uiPriority w:val="99"/>
    <w:rsid w:val="00734D7A"/>
    <w:pPr>
      <w:spacing w:after="240"/>
    </w:pPr>
  </w:style>
  <w:style w:type="character" w:customStyle="1" w:styleId="BodyTextChar">
    <w:name w:val="Body Text Char"/>
    <w:basedOn w:val="DefaultParagraphFont"/>
    <w:link w:val="BodyText"/>
    <w:uiPriority w:val="99"/>
    <w:locked/>
    <w:rsid w:val="00734D7A"/>
    <w:rPr>
      <w:rFonts w:ascii="Georgia" w:hAnsi="Georgia" w:cs="Times New Roman"/>
      <w:sz w:val="20"/>
    </w:rPr>
  </w:style>
  <w:style w:type="paragraph" w:styleId="Title">
    <w:name w:val="Title"/>
    <w:basedOn w:val="Normal"/>
    <w:next w:val="Normal"/>
    <w:link w:val="TitleChar"/>
    <w:uiPriority w:val="99"/>
    <w:qFormat/>
    <w:rsid w:val="00734D7A"/>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734D7A"/>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734D7A"/>
    <w:pPr>
      <w:spacing w:line="200" w:lineRule="atLeast"/>
    </w:pPr>
    <w:rPr>
      <w:i/>
      <w:sz w:val="18"/>
    </w:rPr>
  </w:style>
  <w:style w:type="character" w:customStyle="1" w:styleId="AddressChar">
    <w:name w:val="Address Char"/>
    <w:basedOn w:val="DefaultParagraphFont"/>
    <w:link w:val="Address"/>
    <w:uiPriority w:val="99"/>
    <w:locked/>
    <w:rsid w:val="00734D7A"/>
    <w:rPr>
      <w:rFonts w:ascii="Georgia" w:hAnsi="Georgia" w:cs="Times New Roman"/>
      <w:i/>
      <w:sz w:val="18"/>
    </w:rPr>
  </w:style>
  <w:style w:type="paragraph" w:customStyle="1" w:styleId="Disclaimer">
    <w:name w:val="Disclaimer"/>
    <w:basedOn w:val="Normal"/>
    <w:link w:val="DisclaimerChar"/>
    <w:uiPriority w:val="99"/>
    <w:rsid w:val="00734D7A"/>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734D7A"/>
    <w:rPr>
      <w:rFonts w:ascii="Arial" w:hAnsi="Arial" w:cs="Arial"/>
      <w:sz w:val="12"/>
    </w:rPr>
  </w:style>
  <w:style w:type="paragraph" w:styleId="BalloonText">
    <w:name w:val="Balloon Text"/>
    <w:basedOn w:val="Normal"/>
    <w:link w:val="BalloonTextChar"/>
    <w:uiPriority w:val="99"/>
    <w:semiHidden/>
    <w:rsid w:val="00734D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4D7A"/>
    <w:rPr>
      <w:rFonts w:ascii="Tahoma" w:hAnsi="Tahoma" w:cs="Tahoma"/>
      <w:sz w:val="16"/>
      <w:szCs w:val="16"/>
      <w:lang w:eastAsia="en-US"/>
    </w:rPr>
  </w:style>
  <w:style w:type="character" w:styleId="Hyperlink">
    <w:name w:val="Hyperlink"/>
    <w:basedOn w:val="DefaultParagraphFont"/>
    <w:uiPriority w:val="99"/>
    <w:rsid w:val="00734D7A"/>
    <w:rPr>
      <w:rFonts w:cs="Times New Roman"/>
      <w:color w:val="0000FF"/>
      <w:u w:val="single"/>
    </w:rPr>
  </w:style>
  <w:style w:type="paragraph" w:styleId="NormalWeb">
    <w:name w:val="Normal (Web)"/>
    <w:basedOn w:val="Normal"/>
    <w:unhideWhenUsed/>
    <w:rsid w:val="00734D7A"/>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locked/>
    <w:rsid w:val="00734D7A"/>
    <w:rPr>
      <w:b/>
      <w:bCs/>
    </w:rPr>
  </w:style>
  <w:style w:type="paragraph" w:styleId="BodyText3">
    <w:name w:val="Body Text 3"/>
    <w:basedOn w:val="Normal"/>
    <w:link w:val="BodyText3Char"/>
    <w:uiPriority w:val="99"/>
    <w:unhideWhenUsed/>
    <w:rsid w:val="00734D7A"/>
    <w:pPr>
      <w:spacing w:after="120"/>
    </w:pPr>
    <w:rPr>
      <w:sz w:val="16"/>
      <w:szCs w:val="16"/>
    </w:rPr>
  </w:style>
  <w:style w:type="character" w:customStyle="1" w:styleId="BodyText3Char">
    <w:name w:val="Body Text 3 Char"/>
    <w:basedOn w:val="DefaultParagraphFont"/>
    <w:link w:val="BodyText3"/>
    <w:uiPriority w:val="99"/>
    <w:rsid w:val="00734D7A"/>
    <w:rPr>
      <w:rFonts w:ascii="Georgia" w:hAnsi="Georgia"/>
      <w:sz w:val="16"/>
      <w:szCs w:val="16"/>
      <w:lang w:val="en-GB"/>
    </w:rPr>
  </w:style>
  <w:style w:type="paragraph" w:customStyle="1" w:styleId="ReleaseBodyText">
    <w:name w:val="Release Body Text"/>
    <w:rsid w:val="002D01FB"/>
    <w:rPr>
      <w:rFonts w:ascii="Arial" w:eastAsia="Times New Roman" w:hAnsi="Arial" w:cs="Arial"/>
      <w:sz w:val="20"/>
      <w:szCs w:val="20"/>
      <w:lang w:val="en-GB"/>
    </w:rPr>
  </w:style>
  <w:style w:type="paragraph" w:styleId="ListParagraph">
    <w:name w:val="List Paragraph"/>
    <w:basedOn w:val="Normal"/>
    <w:uiPriority w:val="34"/>
    <w:unhideWhenUsed/>
    <w:qFormat/>
    <w:rsid w:val="00D669A2"/>
    <w:pPr>
      <w:spacing w:after="240"/>
      <w:ind w:left="720"/>
      <w:contextualSpacing/>
    </w:pPr>
    <w:rPr>
      <w:rFonts w:ascii="Calibri" w:eastAsia="Times New Roman" w:hAnsi="Calibri"/>
      <w:color w:val="000000"/>
      <w:sz w:val="21"/>
      <w:szCs w:val="21"/>
      <w:lang w:eastAsia="zh-CN"/>
    </w:rPr>
  </w:style>
  <w:style w:type="paragraph" w:styleId="Revision">
    <w:name w:val="Revision"/>
    <w:hidden/>
    <w:uiPriority w:val="99"/>
    <w:semiHidden/>
    <w:rsid w:val="00392A33"/>
    <w:rPr>
      <w:rFonts w:ascii="Georgia" w:hAnsi="Georgia"/>
      <w:sz w:val="20"/>
      <w:lang w:val="en-GB"/>
    </w:rPr>
  </w:style>
  <w:style w:type="character" w:styleId="FollowedHyperlink">
    <w:name w:val="FollowedHyperlink"/>
    <w:basedOn w:val="DefaultParagraphFont"/>
    <w:uiPriority w:val="99"/>
    <w:semiHidden/>
    <w:unhideWhenUsed/>
    <w:rsid w:val="003E66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642684">
      <w:bodyDiv w:val="1"/>
      <w:marLeft w:val="0"/>
      <w:marRight w:val="0"/>
      <w:marTop w:val="0"/>
      <w:marBottom w:val="0"/>
      <w:divBdr>
        <w:top w:val="none" w:sz="0" w:space="0" w:color="auto"/>
        <w:left w:val="none" w:sz="0" w:space="0" w:color="auto"/>
        <w:bottom w:val="none" w:sz="0" w:space="0" w:color="auto"/>
        <w:right w:val="none" w:sz="0" w:space="0" w:color="auto"/>
      </w:divBdr>
      <w:divsChild>
        <w:div w:id="918906025">
          <w:marLeft w:val="0"/>
          <w:marRight w:val="0"/>
          <w:marTop w:val="0"/>
          <w:marBottom w:val="0"/>
          <w:divBdr>
            <w:top w:val="none" w:sz="0" w:space="0" w:color="auto"/>
            <w:left w:val="none" w:sz="0" w:space="0" w:color="auto"/>
            <w:bottom w:val="none" w:sz="0" w:space="0" w:color="auto"/>
            <w:right w:val="none" w:sz="0" w:space="0" w:color="auto"/>
          </w:divBdr>
          <w:divsChild>
            <w:div w:id="1830974493">
              <w:marLeft w:val="0"/>
              <w:marRight w:val="0"/>
              <w:marTop w:val="0"/>
              <w:marBottom w:val="0"/>
              <w:divBdr>
                <w:top w:val="none" w:sz="0" w:space="0" w:color="auto"/>
                <w:left w:val="none" w:sz="0" w:space="0" w:color="auto"/>
                <w:bottom w:val="none" w:sz="0" w:space="0" w:color="auto"/>
                <w:right w:val="none" w:sz="0" w:space="0" w:color="auto"/>
              </w:divBdr>
              <w:divsChild>
                <w:div w:id="10291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wc.com/g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wc.com/gew"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58E50-28BE-40E1-8DA4-899B79BA6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0</TotalTime>
  <Pages>3</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Hollingdale</dc:creator>
  <cp:lastModifiedBy>Shelly Ko Van Pelt</cp:lastModifiedBy>
  <cp:revision>2</cp:revision>
  <cp:lastPrinted>2014-08-04T08:34:00Z</cp:lastPrinted>
  <dcterms:created xsi:type="dcterms:W3CDTF">2014-08-05T15:36:00Z</dcterms:created>
  <dcterms:modified xsi:type="dcterms:W3CDTF">2014-08-05T15:36:00Z</dcterms:modified>
</cp:coreProperties>
</file>