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77" w:rsidRPr="008050B0" w:rsidRDefault="00350928">
      <w:pPr>
        <w:tabs>
          <w:tab w:val="center" w:pos="4536"/>
        </w:tabs>
        <w:rPr>
          <w:i/>
        </w:rPr>
      </w:pPr>
      <w:r>
        <w:rPr>
          <w:i/>
          <w:noProof/>
          <w:lang w:val="en-US"/>
        </w:rPr>
        <mc:AlternateContent>
          <mc:Choice Requires="wps">
            <w:drawing>
              <wp:anchor distT="0" distB="0" distL="114300" distR="114300" simplePos="0" relativeHeight="251657216"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E57577" w:rsidRPr="00397047" w:rsidRDefault="003675C4">
      <w:pPr>
        <w:pStyle w:val="Title"/>
        <w:rPr>
          <w:rFonts w:ascii="Georgia" w:hAnsi="Georgia"/>
          <w:sz w:val="28"/>
          <w:szCs w:val="28"/>
        </w:rPr>
      </w:pPr>
      <w:r w:rsidRPr="00397047">
        <w:rPr>
          <w:rFonts w:ascii="Georgia" w:hAnsi="Georgia"/>
          <w:sz w:val="28"/>
          <w:szCs w:val="28"/>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E57577" w:rsidRPr="008050B0">
        <w:tc>
          <w:tcPr>
            <w:tcW w:w="2268" w:type="dxa"/>
            <w:shd w:val="clear" w:color="auto" w:fill="auto"/>
          </w:tcPr>
          <w:p w:rsidR="00E57577" w:rsidRPr="008050B0" w:rsidRDefault="003675C4">
            <w:pPr>
              <w:rPr>
                <w:i/>
                <w:sz w:val="22"/>
              </w:rPr>
            </w:pPr>
            <w:r w:rsidRPr="008050B0">
              <w:rPr>
                <w:i/>
                <w:sz w:val="22"/>
              </w:rPr>
              <w:t>Date</w:t>
            </w:r>
          </w:p>
        </w:tc>
        <w:tc>
          <w:tcPr>
            <w:tcW w:w="5211" w:type="dxa"/>
            <w:shd w:val="clear" w:color="auto" w:fill="auto"/>
          </w:tcPr>
          <w:p w:rsidR="00E57577" w:rsidRPr="00EC762A" w:rsidRDefault="00EC762A" w:rsidP="00C878C9">
            <w:pPr>
              <w:rPr>
                <w:b/>
                <w:color w:val="FF0000"/>
                <w:sz w:val="22"/>
              </w:rPr>
            </w:pPr>
            <w:r w:rsidRPr="00EC762A">
              <w:rPr>
                <w:b/>
                <w:color w:val="FF0000"/>
                <w:sz w:val="22"/>
              </w:rPr>
              <w:t xml:space="preserve">Embargoed until 00:01 AM </w:t>
            </w:r>
            <w:r w:rsidR="00397047">
              <w:rPr>
                <w:b/>
                <w:color w:val="FF0000"/>
                <w:sz w:val="22"/>
              </w:rPr>
              <w:t>BST</w:t>
            </w:r>
            <w:r w:rsidR="00397047">
              <w:rPr>
                <w:b/>
                <w:color w:val="FF0000"/>
                <w:sz w:val="22"/>
              </w:rPr>
              <w:br/>
            </w:r>
            <w:r w:rsidRPr="00EC762A">
              <w:rPr>
                <w:b/>
                <w:color w:val="FF0000"/>
                <w:sz w:val="22"/>
              </w:rPr>
              <w:t>Wednesday 25</w:t>
            </w:r>
            <w:r w:rsidR="00B54826">
              <w:rPr>
                <w:b/>
                <w:color w:val="FF0000"/>
                <w:sz w:val="22"/>
                <w:vertAlign w:val="superscript"/>
              </w:rPr>
              <w:t xml:space="preserve"> </w:t>
            </w:r>
            <w:r w:rsidRPr="00EC762A">
              <w:rPr>
                <w:b/>
                <w:color w:val="FF0000"/>
                <w:sz w:val="22"/>
              </w:rPr>
              <w:t>June</w:t>
            </w:r>
          </w:p>
          <w:p w:rsidR="00C878C9" w:rsidRPr="00EC762A" w:rsidRDefault="00C878C9" w:rsidP="00C878C9">
            <w:pPr>
              <w:rPr>
                <w:b/>
                <w:color w:val="FF0000"/>
                <w:sz w:val="22"/>
              </w:rPr>
            </w:pPr>
          </w:p>
        </w:tc>
      </w:tr>
      <w:tr w:rsidR="00E57577" w:rsidRPr="008050B0">
        <w:tc>
          <w:tcPr>
            <w:tcW w:w="2268" w:type="dxa"/>
            <w:shd w:val="clear" w:color="auto" w:fill="auto"/>
          </w:tcPr>
          <w:p w:rsidR="00E57577" w:rsidRPr="008050B0" w:rsidRDefault="003675C4">
            <w:pPr>
              <w:rPr>
                <w:i/>
                <w:sz w:val="22"/>
              </w:rPr>
            </w:pPr>
            <w:r w:rsidRPr="008050B0">
              <w:rPr>
                <w:i/>
                <w:sz w:val="22"/>
              </w:rPr>
              <w:t>Contact</w:t>
            </w:r>
          </w:p>
        </w:tc>
        <w:tc>
          <w:tcPr>
            <w:tcW w:w="5211" w:type="dxa"/>
            <w:shd w:val="clear" w:color="auto" w:fill="auto"/>
          </w:tcPr>
          <w:p w:rsidR="00E57577" w:rsidRPr="008050B0" w:rsidRDefault="00D4528E">
            <w:pPr>
              <w:tabs>
                <w:tab w:val="left" w:pos="1440"/>
              </w:tabs>
              <w:ind w:left="1440" w:hanging="1440"/>
              <w:rPr>
                <w:rFonts w:cs="Arial"/>
                <w:sz w:val="22"/>
                <w:lang w:val="it-IT"/>
              </w:rPr>
            </w:pPr>
            <w:r>
              <w:rPr>
                <w:rFonts w:cs="Arial"/>
                <w:bCs/>
                <w:sz w:val="22"/>
                <w:lang w:val="it-IT"/>
              </w:rPr>
              <w:t>David Jetuah, media relations</w:t>
            </w:r>
            <w:r w:rsidR="003675C4" w:rsidRPr="008050B0">
              <w:rPr>
                <w:rFonts w:cs="Arial"/>
                <w:bCs/>
                <w:sz w:val="22"/>
                <w:lang w:val="it-IT"/>
              </w:rPr>
              <w:t>, PwC</w:t>
            </w:r>
          </w:p>
          <w:p w:rsidR="007932C1" w:rsidRDefault="008050B0" w:rsidP="00CD601C">
            <w:pPr>
              <w:pStyle w:val="BodyText"/>
              <w:spacing w:after="0" w:line="240" w:lineRule="auto"/>
              <w:rPr>
                <w:rFonts w:cs="Arial"/>
                <w:sz w:val="22"/>
                <w:lang w:val="it-IT"/>
              </w:rPr>
            </w:pPr>
            <w:r>
              <w:rPr>
                <w:rFonts w:cs="Arial"/>
                <w:sz w:val="22"/>
                <w:lang w:val="it-IT"/>
              </w:rPr>
              <w:t xml:space="preserve">Tel: </w:t>
            </w:r>
            <w:r w:rsidR="007932C1">
              <w:rPr>
                <w:rFonts w:cs="Arial"/>
                <w:sz w:val="22"/>
                <w:lang w:val="it-IT"/>
              </w:rPr>
              <w:t>+ 44 (</w:t>
            </w:r>
            <w:r w:rsidR="00E87477">
              <w:rPr>
                <w:rFonts w:cs="Arial"/>
                <w:sz w:val="22"/>
                <w:lang w:val="it-IT"/>
              </w:rPr>
              <w:t>0</w:t>
            </w:r>
            <w:r w:rsidR="007932C1">
              <w:rPr>
                <w:rFonts w:cs="Arial"/>
                <w:sz w:val="22"/>
                <w:lang w:val="it-IT"/>
              </w:rPr>
              <w:t xml:space="preserve">) </w:t>
            </w:r>
            <w:r w:rsidR="00E87477">
              <w:rPr>
                <w:rFonts w:cs="Arial"/>
                <w:sz w:val="22"/>
                <w:lang w:val="it-IT"/>
              </w:rPr>
              <w:t>20 721</w:t>
            </w:r>
            <w:r w:rsidR="007932C1">
              <w:rPr>
                <w:rFonts w:cs="Arial"/>
                <w:sz w:val="22"/>
                <w:lang w:val="it-IT"/>
              </w:rPr>
              <w:t>2</w:t>
            </w:r>
            <w:r w:rsidR="00D4528E">
              <w:rPr>
                <w:rFonts w:cs="Arial"/>
                <w:sz w:val="22"/>
                <w:lang w:val="it-IT"/>
              </w:rPr>
              <w:t xml:space="preserve"> 1812</w:t>
            </w:r>
          </w:p>
          <w:p w:rsidR="00CD601C" w:rsidRPr="00253BDA" w:rsidRDefault="00CD601C" w:rsidP="00CD601C">
            <w:pPr>
              <w:pStyle w:val="BodyText"/>
              <w:spacing w:after="0" w:line="240" w:lineRule="auto"/>
              <w:rPr>
                <w:b/>
                <w:sz w:val="22"/>
                <w:lang w:eastAsia="en-GB"/>
              </w:rPr>
            </w:pPr>
            <w:r w:rsidRPr="00253BDA">
              <w:rPr>
                <w:sz w:val="22"/>
                <w:lang w:eastAsia="en-GB"/>
              </w:rPr>
              <w:t xml:space="preserve">Mobile: </w:t>
            </w:r>
            <w:r w:rsidR="007932C1" w:rsidRPr="00253BDA">
              <w:rPr>
                <w:sz w:val="22"/>
                <w:lang w:eastAsia="en-GB"/>
              </w:rPr>
              <w:t xml:space="preserve">+ 44 </w:t>
            </w:r>
            <w:r w:rsidRPr="00253BDA">
              <w:rPr>
                <w:sz w:val="22"/>
                <w:lang w:eastAsia="en-GB"/>
              </w:rPr>
              <w:t>(0)7</w:t>
            </w:r>
            <w:r w:rsidR="00D4528E" w:rsidRPr="00253BDA">
              <w:rPr>
                <w:sz w:val="22"/>
                <w:lang w:eastAsia="en-GB"/>
              </w:rPr>
              <w:t>531439437</w:t>
            </w:r>
          </w:p>
          <w:p w:rsidR="00E57577" w:rsidRDefault="00E87477" w:rsidP="00D4528E">
            <w:pPr>
              <w:tabs>
                <w:tab w:val="left" w:pos="1440"/>
              </w:tabs>
              <w:ind w:left="1440" w:hanging="1440"/>
              <w:rPr>
                <w:rFonts w:cs="Arial"/>
                <w:sz w:val="22"/>
                <w:lang w:val="it-IT"/>
              </w:rPr>
            </w:pPr>
            <w:r w:rsidRPr="00E87477">
              <w:rPr>
                <w:rFonts w:cs="Arial"/>
                <w:sz w:val="22"/>
                <w:lang w:val="it-IT"/>
              </w:rPr>
              <w:t>Email:</w:t>
            </w:r>
            <w:r w:rsidR="009354AC">
              <w:rPr>
                <w:rFonts w:cs="Arial"/>
                <w:sz w:val="22"/>
                <w:lang w:val="it-IT"/>
              </w:rPr>
              <w:t xml:space="preserve"> </w:t>
            </w:r>
            <w:r w:rsidRPr="00E87477">
              <w:rPr>
                <w:rFonts w:cs="Arial"/>
                <w:sz w:val="22"/>
                <w:lang w:val="it-IT"/>
              </w:rPr>
              <w:t xml:space="preserve"> </w:t>
            </w:r>
            <w:r w:rsidR="00D4528E">
              <w:rPr>
                <w:rFonts w:cs="Arial"/>
                <w:sz w:val="22"/>
                <w:lang w:val="it-IT"/>
              </w:rPr>
              <w:t>david</w:t>
            </w:r>
            <w:r w:rsidRPr="00E87477">
              <w:rPr>
                <w:rFonts w:cs="Arial"/>
                <w:sz w:val="22"/>
                <w:lang w:val="it-IT"/>
              </w:rPr>
              <w:t>.</w:t>
            </w:r>
            <w:r w:rsidR="00D4528E">
              <w:rPr>
                <w:rFonts w:cs="Arial"/>
                <w:sz w:val="22"/>
                <w:lang w:val="it-IT"/>
              </w:rPr>
              <w:t>jetuah</w:t>
            </w:r>
            <w:r w:rsidRPr="00E87477">
              <w:rPr>
                <w:rFonts w:cs="Arial"/>
                <w:sz w:val="22"/>
                <w:lang w:val="it-IT"/>
              </w:rPr>
              <w:t>@uk.pwc.com</w:t>
            </w:r>
            <w:r w:rsidRPr="008050B0">
              <w:rPr>
                <w:rFonts w:cs="Arial"/>
                <w:sz w:val="22"/>
                <w:lang w:val="it-IT"/>
              </w:rPr>
              <w:t xml:space="preserve"> </w:t>
            </w:r>
          </w:p>
          <w:p w:rsidR="00397047" w:rsidRPr="008050B0" w:rsidRDefault="00397047" w:rsidP="00D4528E">
            <w:pPr>
              <w:tabs>
                <w:tab w:val="left" w:pos="1440"/>
              </w:tabs>
              <w:ind w:left="1440" w:hanging="1440"/>
              <w:rPr>
                <w:sz w:val="22"/>
                <w:lang w:val="it-IT"/>
              </w:rPr>
            </w:pPr>
          </w:p>
        </w:tc>
      </w:tr>
      <w:tr w:rsidR="00E57577" w:rsidRPr="008050B0" w:rsidTr="008C4030">
        <w:trPr>
          <w:trHeight w:val="676"/>
        </w:trPr>
        <w:tc>
          <w:tcPr>
            <w:tcW w:w="2268" w:type="dxa"/>
            <w:shd w:val="clear" w:color="auto" w:fill="auto"/>
          </w:tcPr>
          <w:p w:rsidR="00E57577" w:rsidRPr="008050B0" w:rsidRDefault="008C4030">
            <w:pPr>
              <w:rPr>
                <w:i/>
                <w:sz w:val="22"/>
              </w:rPr>
            </w:pPr>
            <w:r>
              <w:rPr>
                <w:noProof/>
                <w:sz w:val="22"/>
                <w:lang w:val="en-US"/>
              </w:rPr>
              <mc:AlternateContent>
                <mc:Choice Requires="wps">
                  <w:drawing>
                    <wp:anchor distT="0" distB="0" distL="114300" distR="114300" simplePos="0" relativeHeight="251658240" behindDoc="0" locked="0" layoutInCell="1" allowOverlap="1" wp14:anchorId="36660F94" wp14:editId="04706867">
                      <wp:simplePos x="0" y="0"/>
                      <wp:positionH relativeFrom="page">
                        <wp:posOffset>101600</wp:posOffset>
                      </wp:positionH>
                      <wp:positionV relativeFrom="page">
                        <wp:posOffset>304800</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4pt" to="463.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" strokecolor="#e36c0a">
                      <w10:wrap anchorx="page" anchory="page"/>
                    </v:line>
                  </w:pict>
                </mc:Fallback>
              </mc:AlternateContent>
            </w:r>
            <w:r w:rsidR="00397047">
              <w:rPr>
                <w:i/>
                <w:sz w:val="22"/>
              </w:rPr>
              <w:t>Pag</w:t>
            </w:r>
            <w:bookmarkStart w:id="0" w:name="_GoBack"/>
            <w:bookmarkEnd w:id="0"/>
            <w:r w:rsidR="00397047">
              <w:rPr>
                <w:i/>
                <w:sz w:val="22"/>
              </w:rPr>
              <w:t>es</w:t>
            </w:r>
          </w:p>
        </w:tc>
        <w:tc>
          <w:tcPr>
            <w:tcW w:w="5211" w:type="dxa"/>
            <w:shd w:val="clear" w:color="auto" w:fill="auto"/>
          </w:tcPr>
          <w:p w:rsidR="00E57577" w:rsidRPr="008050B0" w:rsidRDefault="00397047">
            <w:pPr>
              <w:rPr>
                <w:sz w:val="22"/>
              </w:rPr>
            </w:pPr>
            <w:r>
              <w:rPr>
                <w:sz w:val="22"/>
              </w:rPr>
              <w:t>2</w:t>
            </w:r>
          </w:p>
        </w:tc>
      </w:tr>
    </w:tbl>
    <w:p w:rsidR="00E57577" w:rsidRPr="008050B0" w:rsidRDefault="003675C4">
      <w:pPr>
        <w:rPr>
          <w:sz w:val="18"/>
          <w:szCs w:val="18"/>
        </w:rPr>
      </w:pPr>
      <w:r w:rsidRPr="008050B0">
        <w:rPr>
          <w:rFonts w:cs="Arial"/>
          <w:b/>
          <w:i/>
          <w:iCs/>
          <w:sz w:val="22"/>
        </w:rPr>
        <w:br w:type="textWrapping" w:clear="all"/>
      </w:r>
    </w:p>
    <w:p w:rsidR="000439A8" w:rsidRPr="00397047" w:rsidRDefault="000439A8" w:rsidP="00397047">
      <w:pPr>
        <w:autoSpaceDE w:val="0"/>
        <w:autoSpaceDN w:val="0"/>
        <w:adjustRightInd w:val="0"/>
        <w:spacing w:line="240" w:lineRule="auto"/>
        <w:jc w:val="center"/>
        <w:rPr>
          <w:rFonts w:cs="Georgia"/>
          <w:b/>
          <w:bCs/>
          <w:color w:val="000000"/>
          <w:sz w:val="24"/>
          <w:szCs w:val="24"/>
          <w:lang w:eastAsia="en-GB"/>
        </w:rPr>
      </w:pPr>
      <w:r w:rsidRPr="00397047">
        <w:rPr>
          <w:rFonts w:cs="Georgia"/>
          <w:b/>
          <w:bCs/>
          <w:color w:val="000000"/>
          <w:sz w:val="24"/>
          <w:szCs w:val="24"/>
          <w:lang w:eastAsia="en-GB"/>
        </w:rPr>
        <w:t xml:space="preserve">Global market capitalisation tracker shows </w:t>
      </w:r>
      <w:r w:rsidR="00397047" w:rsidRPr="00397047">
        <w:rPr>
          <w:rFonts w:cs="Georgia"/>
          <w:b/>
          <w:bCs/>
          <w:color w:val="000000"/>
          <w:sz w:val="24"/>
          <w:szCs w:val="24"/>
          <w:lang w:eastAsia="en-GB"/>
        </w:rPr>
        <w:br/>
      </w:r>
      <w:r w:rsidRPr="00397047">
        <w:rPr>
          <w:rFonts w:cs="Georgia"/>
          <w:b/>
          <w:bCs/>
          <w:color w:val="000000"/>
          <w:sz w:val="24"/>
          <w:szCs w:val="24"/>
          <w:lang w:eastAsia="en-GB"/>
        </w:rPr>
        <w:t>US businesses eclipsing the rest of the world</w:t>
      </w:r>
    </w:p>
    <w:p w:rsidR="000439A8" w:rsidRPr="000439A8" w:rsidRDefault="000439A8" w:rsidP="000439A8">
      <w:pPr>
        <w:autoSpaceDE w:val="0"/>
        <w:autoSpaceDN w:val="0"/>
        <w:adjustRightInd w:val="0"/>
        <w:spacing w:line="240" w:lineRule="auto"/>
        <w:rPr>
          <w:rFonts w:cs="Georgia"/>
          <w:b/>
          <w:bCs/>
          <w:color w:val="000000"/>
          <w:sz w:val="18"/>
          <w:szCs w:val="18"/>
          <w:lang w:eastAsia="en-GB"/>
        </w:rPr>
      </w:pPr>
    </w:p>
    <w:p w:rsidR="000439A8" w:rsidRPr="000439A8" w:rsidRDefault="000439A8" w:rsidP="000439A8">
      <w:pPr>
        <w:autoSpaceDE w:val="0"/>
        <w:autoSpaceDN w:val="0"/>
        <w:adjustRightInd w:val="0"/>
        <w:spacing w:line="240" w:lineRule="auto"/>
        <w:rPr>
          <w:rFonts w:cs="Georgia"/>
          <w:b/>
          <w:bCs/>
          <w:color w:val="000000"/>
          <w:sz w:val="18"/>
          <w:szCs w:val="18"/>
          <w:lang w:eastAsia="en-GB"/>
        </w:rPr>
      </w:pPr>
    </w:p>
    <w:p w:rsidR="000439A8" w:rsidRPr="00397047" w:rsidRDefault="000439A8" w:rsidP="00397047">
      <w:pPr>
        <w:autoSpaceDE w:val="0"/>
        <w:autoSpaceDN w:val="0"/>
        <w:adjustRightInd w:val="0"/>
        <w:spacing w:after="120" w:line="240" w:lineRule="auto"/>
        <w:ind w:left="720" w:hanging="360"/>
        <w:rPr>
          <w:rFonts w:cs="Georgia"/>
          <w:i/>
          <w:color w:val="000000"/>
          <w:szCs w:val="20"/>
          <w:lang w:eastAsia="en-GB"/>
        </w:rPr>
      </w:pPr>
      <w:r w:rsidRPr="00397047">
        <w:rPr>
          <w:rFonts w:cs="Georgia"/>
          <w:i/>
          <w:color w:val="000000"/>
          <w:szCs w:val="20"/>
          <w:lang w:eastAsia="en-GB"/>
        </w:rPr>
        <w:t>·</w:t>
      </w:r>
      <w:r w:rsidRPr="00397047">
        <w:rPr>
          <w:rFonts w:cs="Georgia"/>
          <w:i/>
          <w:color w:val="000000"/>
          <w:szCs w:val="20"/>
          <w:lang w:eastAsia="en-GB"/>
        </w:rPr>
        <w:tab/>
        <w:t xml:space="preserve">Almost half the world’s top 100 listed companies are American. </w:t>
      </w:r>
    </w:p>
    <w:p w:rsidR="000439A8" w:rsidRPr="00397047" w:rsidRDefault="000439A8" w:rsidP="00397047">
      <w:pPr>
        <w:autoSpaceDE w:val="0"/>
        <w:autoSpaceDN w:val="0"/>
        <w:adjustRightInd w:val="0"/>
        <w:spacing w:after="120" w:line="240" w:lineRule="auto"/>
        <w:ind w:left="720" w:hanging="360"/>
        <w:rPr>
          <w:rFonts w:cs="Georgia"/>
          <w:i/>
          <w:color w:val="000000"/>
          <w:szCs w:val="20"/>
          <w:lang w:eastAsia="en-GB"/>
        </w:rPr>
      </w:pPr>
      <w:r w:rsidRPr="00397047">
        <w:rPr>
          <w:rFonts w:cs="Georgia"/>
          <w:i/>
          <w:color w:val="000000"/>
          <w:szCs w:val="20"/>
          <w:lang w:eastAsia="en-GB"/>
        </w:rPr>
        <w:t>·</w:t>
      </w:r>
      <w:r w:rsidRPr="00397047">
        <w:rPr>
          <w:rFonts w:cs="Georgia"/>
          <w:i/>
          <w:color w:val="000000"/>
          <w:szCs w:val="20"/>
          <w:lang w:eastAsia="en-GB"/>
        </w:rPr>
        <w:tab/>
        <w:t>Combined market capital of global 100 rockets by more than six trillion dollars since 2009</w:t>
      </w:r>
    </w:p>
    <w:p w:rsidR="000439A8" w:rsidRPr="00397047" w:rsidRDefault="000439A8" w:rsidP="00397047">
      <w:pPr>
        <w:autoSpaceDE w:val="0"/>
        <w:autoSpaceDN w:val="0"/>
        <w:adjustRightInd w:val="0"/>
        <w:spacing w:after="120" w:line="240" w:lineRule="auto"/>
        <w:ind w:left="720" w:hanging="360"/>
        <w:rPr>
          <w:rFonts w:cs="Georgia"/>
          <w:i/>
          <w:color w:val="000000"/>
          <w:szCs w:val="20"/>
          <w:lang w:eastAsia="en-GB"/>
        </w:rPr>
      </w:pPr>
      <w:r w:rsidRPr="00397047">
        <w:rPr>
          <w:rFonts w:cs="Georgia"/>
          <w:i/>
          <w:color w:val="000000"/>
          <w:szCs w:val="20"/>
          <w:lang w:eastAsia="en-GB"/>
        </w:rPr>
        <w:t>·</w:t>
      </w:r>
      <w:r w:rsidRPr="00397047">
        <w:rPr>
          <w:rFonts w:cs="Georgia"/>
          <w:i/>
          <w:color w:val="000000"/>
          <w:szCs w:val="20"/>
          <w:lang w:eastAsia="en-GB"/>
        </w:rPr>
        <w:tab/>
        <w:t>Apple remains the most valuable company ($469bn)</w:t>
      </w:r>
    </w:p>
    <w:p w:rsidR="000439A8" w:rsidRPr="00397047" w:rsidRDefault="000439A8" w:rsidP="00397047">
      <w:pPr>
        <w:autoSpaceDE w:val="0"/>
        <w:autoSpaceDN w:val="0"/>
        <w:adjustRightInd w:val="0"/>
        <w:spacing w:after="120" w:line="240" w:lineRule="auto"/>
        <w:ind w:left="720" w:hanging="360"/>
        <w:rPr>
          <w:rFonts w:cs="Georgia"/>
          <w:i/>
          <w:color w:val="000000"/>
          <w:szCs w:val="20"/>
          <w:lang w:eastAsia="en-GB"/>
        </w:rPr>
      </w:pPr>
      <w:r w:rsidRPr="00397047">
        <w:rPr>
          <w:rFonts w:cs="Georgia"/>
          <w:i/>
          <w:color w:val="000000"/>
          <w:szCs w:val="20"/>
          <w:lang w:eastAsia="en-GB"/>
        </w:rPr>
        <w:t>·</w:t>
      </w:r>
      <w:r w:rsidRPr="00397047">
        <w:rPr>
          <w:rFonts w:cs="Georgia"/>
          <w:i/>
          <w:color w:val="000000"/>
          <w:szCs w:val="20"/>
          <w:lang w:eastAsia="en-GB"/>
        </w:rPr>
        <w:tab/>
        <w:t>Lowest market cap on the list is $81bn, up 50% from 2009</w:t>
      </w:r>
    </w:p>
    <w:p w:rsidR="000439A8" w:rsidRPr="00397047" w:rsidRDefault="000439A8" w:rsidP="00397047">
      <w:pPr>
        <w:autoSpaceDE w:val="0"/>
        <w:autoSpaceDN w:val="0"/>
        <w:adjustRightInd w:val="0"/>
        <w:spacing w:after="120" w:line="240" w:lineRule="auto"/>
        <w:ind w:left="720" w:hanging="360"/>
        <w:rPr>
          <w:rFonts w:cs="Georgia"/>
          <w:i/>
          <w:color w:val="000000"/>
          <w:szCs w:val="20"/>
          <w:lang w:eastAsia="en-GB"/>
        </w:rPr>
      </w:pPr>
      <w:r w:rsidRPr="00397047">
        <w:rPr>
          <w:rFonts w:cs="Georgia"/>
          <w:i/>
          <w:color w:val="000000"/>
          <w:szCs w:val="20"/>
          <w:lang w:eastAsia="en-GB"/>
        </w:rPr>
        <w:t>·</w:t>
      </w:r>
      <w:r w:rsidRPr="00397047">
        <w:rPr>
          <w:rFonts w:cs="Georgia"/>
          <w:i/>
          <w:color w:val="000000"/>
          <w:szCs w:val="20"/>
          <w:lang w:eastAsia="en-GB"/>
        </w:rPr>
        <w:tab/>
        <w:t>Average market cap has almost doubled to $150bn</w:t>
      </w:r>
    </w:p>
    <w:p w:rsidR="000439A8" w:rsidRPr="00397047" w:rsidRDefault="000439A8" w:rsidP="00397047">
      <w:pPr>
        <w:autoSpaceDE w:val="0"/>
        <w:autoSpaceDN w:val="0"/>
        <w:adjustRightInd w:val="0"/>
        <w:spacing w:after="120" w:line="240" w:lineRule="auto"/>
        <w:ind w:left="720" w:hanging="360"/>
        <w:rPr>
          <w:rFonts w:cs="Georgia"/>
          <w:i/>
          <w:color w:val="000000"/>
          <w:szCs w:val="20"/>
          <w:lang w:eastAsia="en-GB"/>
        </w:rPr>
      </w:pPr>
      <w:r w:rsidRPr="00397047">
        <w:rPr>
          <w:rFonts w:cs="Georgia"/>
          <w:i/>
          <w:color w:val="000000"/>
          <w:szCs w:val="20"/>
          <w:lang w:eastAsia="en-GB"/>
        </w:rPr>
        <w:t>·</w:t>
      </w:r>
      <w:r w:rsidRPr="00397047">
        <w:rPr>
          <w:rFonts w:cs="Georgia"/>
          <w:i/>
          <w:color w:val="000000"/>
          <w:szCs w:val="20"/>
          <w:lang w:eastAsia="en-GB"/>
        </w:rPr>
        <w:tab/>
        <w:t>Three companies went straight into the top 100 through IPOs or spin-offs</w:t>
      </w:r>
    </w:p>
    <w:p w:rsidR="00397047" w:rsidRDefault="00397047" w:rsidP="000439A8">
      <w:pPr>
        <w:autoSpaceDE w:val="0"/>
        <w:autoSpaceDN w:val="0"/>
        <w:adjustRightInd w:val="0"/>
        <w:spacing w:line="240" w:lineRule="auto"/>
        <w:rPr>
          <w:rFonts w:cs="Georgia"/>
          <w:color w:val="000000"/>
          <w:sz w:val="22"/>
          <w:lang w:eastAsia="en-GB"/>
        </w:rPr>
      </w:pPr>
    </w:p>
    <w:p w:rsidR="000439A8" w:rsidRDefault="00397047" w:rsidP="000439A8">
      <w:pPr>
        <w:autoSpaceDE w:val="0"/>
        <w:autoSpaceDN w:val="0"/>
        <w:adjustRightInd w:val="0"/>
        <w:spacing w:line="240" w:lineRule="auto"/>
        <w:rPr>
          <w:rFonts w:cs="Georgia"/>
          <w:color w:val="000000"/>
          <w:sz w:val="22"/>
          <w:lang w:eastAsia="en-GB"/>
        </w:rPr>
      </w:pPr>
      <w:r w:rsidRPr="00397047">
        <w:rPr>
          <w:rFonts w:cs="Georgia"/>
          <w:b/>
          <w:color w:val="000000"/>
          <w:sz w:val="22"/>
          <w:lang w:eastAsia="en-GB"/>
        </w:rPr>
        <w:t>London, 25 June 2014</w:t>
      </w:r>
      <w:r>
        <w:rPr>
          <w:rFonts w:cs="Georgia"/>
          <w:color w:val="000000"/>
          <w:sz w:val="22"/>
          <w:lang w:eastAsia="en-GB"/>
        </w:rPr>
        <w:t xml:space="preserve"> </w:t>
      </w:r>
      <w:r>
        <w:rPr>
          <w:rFonts w:cs="Georgia"/>
          <w:color w:val="000000"/>
          <w:sz w:val="22"/>
          <w:lang w:eastAsia="en-GB"/>
        </w:rPr>
        <w:noBreakHyphen/>
      </w:r>
      <w:r>
        <w:rPr>
          <w:rFonts w:cs="Georgia"/>
          <w:color w:val="000000"/>
          <w:sz w:val="22"/>
          <w:lang w:eastAsia="en-GB"/>
        </w:rPr>
        <w:noBreakHyphen/>
        <w:t xml:space="preserve"> </w:t>
      </w:r>
      <w:r w:rsidR="000439A8">
        <w:rPr>
          <w:rFonts w:cs="Georgia"/>
          <w:color w:val="000000"/>
          <w:sz w:val="22"/>
          <w:lang w:eastAsia="en-GB"/>
        </w:rPr>
        <w:t xml:space="preserve">The United States now boasts nearly half of the world’s 100 most valuable companies with 47 companies compared to 42 five years ago, and 33 in 2008, a PwC study has found.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The research, conducted by PwC’s IPOs Centre finds  that between 2009 and 2014, the total market capitalisation of the world’s top 100 companies ballooned by more than six trillion dollars, an average increase of $60bn.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During the past five years, the total market cap of those surveyed grew 79% from $8,402bn to $15,020bn, while the threshold to enter the top 100 now stands at $81bn – more than 50% higher than it was in 2009.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Clifford Tompsett, capital markets partner at PwC, said: </w:t>
      </w:r>
    </w:p>
    <w:p w:rsidR="000439A8" w:rsidRDefault="000439A8" w:rsidP="00397047">
      <w:pPr>
        <w:autoSpaceDE w:val="0"/>
        <w:autoSpaceDN w:val="0"/>
        <w:adjustRightInd w:val="0"/>
        <w:spacing w:line="240" w:lineRule="auto"/>
        <w:ind w:left="360"/>
        <w:rPr>
          <w:rFonts w:cs="Georgia"/>
          <w:color w:val="000000"/>
          <w:sz w:val="22"/>
          <w:lang w:eastAsia="en-GB"/>
        </w:rPr>
      </w:pPr>
    </w:p>
    <w:p w:rsidR="000439A8" w:rsidRDefault="000439A8" w:rsidP="00397047">
      <w:pPr>
        <w:autoSpaceDE w:val="0"/>
        <w:autoSpaceDN w:val="0"/>
        <w:adjustRightInd w:val="0"/>
        <w:spacing w:line="240" w:lineRule="auto"/>
        <w:ind w:left="360" w:right="1153"/>
        <w:rPr>
          <w:rFonts w:cs="Georgia"/>
          <w:color w:val="000000"/>
          <w:sz w:val="22"/>
          <w:lang w:eastAsia="en-GB"/>
        </w:rPr>
      </w:pPr>
      <w:r>
        <w:rPr>
          <w:rFonts w:cs="Georgia"/>
          <w:color w:val="000000"/>
          <w:sz w:val="22"/>
          <w:lang w:eastAsia="en-GB"/>
        </w:rPr>
        <w:t xml:space="preserve">“What is truly remarkable is that the US has underlined its domination of the ranking - now almost half the top 100 global companies are American. </w:t>
      </w:r>
    </w:p>
    <w:p w:rsidR="00397047" w:rsidRDefault="00397047">
      <w:pPr>
        <w:spacing w:line="240" w:lineRule="auto"/>
        <w:rPr>
          <w:rFonts w:cs="Georgia"/>
          <w:color w:val="000000"/>
          <w:sz w:val="22"/>
          <w:lang w:eastAsia="en-GB"/>
        </w:rPr>
      </w:pPr>
      <w:r>
        <w:rPr>
          <w:rFonts w:cs="Georgia"/>
          <w:color w:val="000000"/>
          <w:sz w:val="22"/>
          <w:lang w:eastAsia="en-GB"/>
        </w:rPr>
        <w:br w:type="page"/>
      </w:r>
    </w:p>
    <w:p w:rsidR="000439A8" w:rsidRDefault="000439A8" w:rsidP="00397047">
      <w:pPr>
        <w:autoSpaceDE w:val="0"/>
        <w:autoSpaceDN w:val="0"/>
        <w:adjustRightInd w:val="0"/>
        <w:spacing w:line="240" w:lineRule="auto"/>
        <w:ind w:left="360"/>
        <w:rPr>
          <w:rFonts w:cs="Georgia"/>
          <w:color w:val="000000"/>
          <w:sz w:val="22"/>
          <w:lang w:eastAsia="en-GB"/>
        </w:rPr>
      </w:pPr>
    </w:p>
    <w:p w:rsidR="000439A8" w:rsidRDefault="000439A8" w:rsidP="00397047">
      <w:pPr>
        <w:autoSpaceDE w:val="0"/>
        <w:autoSpaceDN w:val="0"/>
        <w:adjustRightInd w:val="0"/>
        <w:spacing w:line="240" w:lineRule="auto"/>
        <w:ind w:left="360" w:right="1153"/>
        <w:rPr>
          <w:rFonts w:cs="Georgia"/>
          <w:color w:val="000000"/>
          <w:sz w:val="22"/>
          <w:lang w:eastAsia="en-GB"/>
        </w:rPr>
      </w:pPr>
      <w:r>
        <w:rPr>
          <w:rFonts w:cs="Georgia"/>
          <w:color w:val="000000"/>
          <w:sz w:val="22"/>
          <w:lang w:eastAsia="en-GB"/>
        </w:rPr>
        <w:t>“Without this financial clout and innovative drive, other companies in other regions will have their work cut out to compete with the US giants. This also explains why the large BRIC companies have slipped in our global rankings.  However, the anticipated IPO of Alibaba later this year could see the return of Chinese companies challenging this US dominance.</w:t>
      </w:r>
    </w:p>
    <w:p w:rsidR="000439A8" w:rsidRDefault="000439A8" w:rsidP="00397047">
      <w:pPr>
        <w:autoSpaceDE w:val="0"/>
        <w:autoSpaceDN w:val="0"/>
        <w:adjustRightInd w:val="0"/>
        <w:spacing w:line="240" w:lineRule="auto"/>
        <w:ind w:left="360" w:right="1153"/>
        <w:rPr>
          <w:rFonts w:cs="Georgia"/>
          <w:color w:val="000000"/>
          <w:sz w:val="22"/>
          <w:lang w:eastAsia="en-GB"/>
        </w:rPr>
      </w:pPr>
    </w:p>
    <w:p w:rsidR="000439A8" w:rsidRDefault="000439A8" w:rsidP="00397047">
      <w:pPr>
        <w:autoSpaceDE w:val="0"/>
        <w:autoSpaceDN w:val="0"/>
        <w:adjustRightInd w:val="0"/>
        <w:spacing w:line="240" w:lineRule="auto"/>
        <w:ind w:left="360" w:right="1153"/>
        <w:rPr>
          <w:rFonts w:cs="Georgia"/>
          <w:color w:val="000000"/>
          <w:sz w:val="22"/>
          <w:lang w:eastAsia="en-GB"/>
        </w:rPr>
      </w:pPr>
      <w:r>
        <w:rPr>
          <w:rFonts w:cs="Georgia"/>
          <w:color w:val="000000"/>
          <w:sz w:val="22"/>
          <w:lang w:eastAsia="en-GB"/>
        </w:rPr>
        <w:t xml:space="preserve">“Also it is remarkable that three companies have directly entered the global top 100 via an IPO or spin off.”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Eurozone companies in the index held their position at 18 companies.  The UK now has eight companies in the Top 100 compared with nine in 2009, and ten in 2008.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The biggest fallers were the BRIC countries with companies from China and Hong Kong falling from 11 to eight and the other BRIC nations falling from six to three.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This reflects current investor sentiment towards those markets and the fact that these companies have still to emerge beyond their domestic markets with a global presence, PwC says. </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Overall, 32 companies have dropped out since 2009 (28 through falls in value, and four by acquisition, merger or separation).  Of the 32 which have joined the index, 29 were through growth, while three were due to IPO or spin-off – Facebook, Agricultural Bank of China and the spin-off of AbbVie from Abbott.  Looking forward, we would expect to see Alibaba to go into the Top 100 rankings when it IPOs later this year.</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autoSpaceDE w:val="0"/>
        <w:autoSpaceDN w:val="0"/>
        <w:adjustRightInd w:val="0"/>
        <w:spacing w:line="240" w:lineRule="auto"/>
        <w:rPr>
          <w:rFonts w:cs="Georgia"/>
          <w:color w:val="000000"/>
          <w:sz w:val="22"/>
          <w:lang w:eastAsia="en-GB"/>
        </w:rPr>
      </w:pPr>
      <w:r>
        <w:rPr>
          <w:rFonts w:cs="Georgia"/>
          <w:color w:val="000000"/>
          <w:sz w:val="22"/>
          <w:lang w:eastAsia="en-GB"/>
        </w:rPr>
        <w:t>The technology sector has put down a marker during the last five years, rising from sixth to second highest by market cap when the index is broken down into business sectors.  In 2009, nine tech firms were worth a combined $997bn. In 2014, the market cap of the 13 tech companies surveyed has roc</w:t>
      </w:r>
      <w:r w:rsidR="00397047">
        <w:rPr>
          <w:rFonts w:cs="Georgia"/>
          <w:color w:val="000000"/>
          <w:sz w:val="22"/>
          <w:lang w:eastAsia="en-GB"/>
        </w:rPr>
        <w:t>keted to $2.5trn, PwC added.</w:t>
      </w:r>
    </w:p>
    <w:p w:rsidR="000439A8" w:rsidRDefault="000439A8" w:rsidP="000439A8">
      <w:pPr>
        <w:autoSpaceDE w:val="0"/>
        <w:autoSpaceDN w:val="0"/>
        <w:adjustRightInd w:val="0"/>
        <w:spacing w:line="240" w:lineRule="auto"/>
        <w:rPr>
          <w:rFonts w:cs="Georgia"/>
          <w:color w:val="000000"/>
          <w:sz w:val="22"/>
          <w:lang w:eastAsia="en-GB"/>
        </w:rPr>
      </w:pPr>
    </w:p>
    <w:p w:rsidR="000439A8" w:rsidRDefault="000439A8" w:rsidP="000439A8">
      <w:pPr>
        <w:pStyle w:val="BodyText"/>
        <w:spacing w:after="0" w:line="240" w:lineRule="auto"/>
        <w:rPr>
          <w:b/>
          <w:szCs w:val="20"/>
          <w:lang w:eastAsia="en-GB"/>
        </w:rPr>
      </w:pPr>
    </w:p>
    <w:p w:rsidR="003675C4" w:rsidRDefault="003675C4" w:rsidP="000439A8">
      <w:pPr>
        <w:pStyle w:val="BodyText"/>
        <w:spacing w:after="0" w:line="240" w:lineRule="auto"/>
        <w:rPr>
          <w:b/>
          <w:szCs w:val="20"/>
          <w:lang w:eastAsia="en-GB"/>
        </w:rPr>
      </w:pPr>
      <w:r w:rsidRPr="008050B0">
        <w:rPr>
          <w:b/>
          <w:szCs w:val="20"/>
          <w:lang w:eastAsia="en-GB"/>
        </w:rPr>
        <w:t>About PwC</w:t>
      </w:r>
    </w:p>
    <w:p w:rsidR="00E87477" w:rsidRPr="008050B0" w:rsidRDefault="00E87477" w:rsidP="003675C4">
      <w:pPr>
        <w:pStyle w:val="BodyText"/>
        <w:spacing w:after="0" w:line="240" w:lineRule="auto"/>
        <w:rPr>
          <w:b/>
          <w:szCs w:val="20"/>
          <w:lang w:eastAsia="en-GB"/>
        </w:rPr>
      </w:pPr>
    </w:p>
    <w:p w:rsidR="00272A86" w:rsidRPr="006C44C0" w:rsidRDefault="00272A86"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22"/>
          <w:lang w:eastAsia="en-GB"/>
        </w:rPr>
      </w:pPr>
      <w:r w:rsidRPr="006C44C0">
        <w:rPr>
          <w:rFonts w:cs="Georgia"/>
          <w:color w:val="000000"/>
          <w:sz w:val="22"/>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 </w:t>
      </w:r>
    </w:p>
    <w:p w:rsidR="00272A86" w:rsidRPr="006C44C0" w:rsidRDefault="00272A86" w:rsidP="00272A86">
      <w:pPr>
        <w:tabs>
          <w:tab w:val="left" w:pos="-720"/>
          <w:tab w:val="left" w:pos="0"/>
        </w:tabs>
        <w:autoSpaceDE w:val="0"/>
        <w:autoSpaceDN w:val="0"/>
        <w:adjustRightInd w:val="0"/>
        <w:spacing w:line="240" w:lineRule="auto"/>
        <w:rPr>
          <w:rFonts w:cs="Georgia"/>
          <w:color w:val="000000"/>
          <w:sz w:val="22"/>
          <w:lang w:eastAsia="en-GB"/>
        </w:rPr>
      </w:pPr>
    </w:p>
    <w:p w:rsidR="00272A86" w:rsidRPr="006C44C0" w:rsidRDefault="00272A86"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22"/>
          <w:lang w:eastAsia="en-GB"/>
        </w:rPr>
      </w:pPr>
      <w:r>
        <w:rPr>
          <w:rFonts w:cs="Georgia"/>
          <w:color w:val="000000"/>
          <w:sz w:val="22"/>
          <w:lang w:eastAsia="en-GB"/>
        </w:rPr>
        <w:t>© 2014</w:t>
      </w:r>
      <w:r w:rsidRPr="006C44C0">
        <w:rPr>
          <w:rFonts w:cs="Georgia"/>
          <w:color w:val="000000"/>
          <w:sz w:val="22"/>
          <w:lang w:eastAsia="en-GB"/>
        </w:rPr>
        <w:t xml:space="preserve"> PwC. All rights reserved</w:t>
      </w:r>
    </w:p>
    <w:p w:rsidR="00272A86" w:rsidRPr="006C44C0" w:rsidRDefault="00272A86"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22"/>
          <w:lang w:eastAsia="en-GB"/>
        </w:rPr>
      </w:pPr>
    </w:p>
    <w:p w:rsidR="00272A86" w:rsidRPr="006C44C0" w:rsidRDefault="00272A86" w:rsidP="00272A86">
      <w:pPr>
        <w:spacing w:line="240" w:lineRule="auto"/>
        <w:rPr>
          <w:rFonts w:cs="Arial"/>
          <w:bCs/>
          <w:sz w:val="22"/>
        </w:rPr>
      </w:pPr>
      <w:r w:rsidRPr="006C44C0">
        <w:rPr>
          <w:rFonts w:cs="Georgia"/>
          <w:color w:val="000000"/>
          <w:sz w:val="22"/>
          <w:lang w:eastAsia="en-GB"/>
        </w:rPr>
        <w:t>PwC refers to the PwC network and/or one or more of its member firms, each of which is a separate legal entity. Please see www.pwc.com/structure for further details.</w:t>
      </w:r>
    </w:p>
    <w:p w:rsidR="00E57577" w:rsidRPr="00D4528E" w:rsidRDefault="00E57577"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22"/>
        </w:rPr>
      </w:pPr>
    </w:p>
    <w:sectPr w:rsidR="00E57577" w:rsidRPr="00D4528E" w:rsidSect="00E57577">
      <w:headerReference w:type="even" r:id="rId9"/>
      <w:headerReference w:type="default" r:id="rId10"/>
      <w:footerReference w:type="even" r:id="rId11"/>
      <w:footerReference w:type="default" r:id="rId12"/>
      <w:headerReference w:type="first" r:id="rId13"/>
      <w:footerReference w:type="first" r:id="rId14"/>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32" w:rsidRDefault="00212832">
      <w:pPr>
        <w:spacing w:line="240" w:lineRule="auto"/>
      </w:pPr>
      <w:r>
        <w:separator/>
      </w:r>
    </w:p>
  </w:endnote>
  <w:endnote w:type="continuationSeparator" w:id="0">
    <w:p w:rsidR="00212832" w:rsidRDefault="00212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0F07FC">
    <w:pPr>
      <w:pStyle w:val="Footer"/>
    </w:pPr>
    <w:r>
      <w:fldChar w:fldCharType="begin"/>
    </w:r>
    <w:r>
      <w:instrText xml:space="preserve"> PAGE  \* MERGEFORMAT </w:instrText>
    </w:r>
    <w:r>
      <w:fldChar w:fldCharType="separate"/>
    </w:r>
    <w:r w:rsidR="00397047">
      <w:rPr>
        <w:noProof/>
      </w:rPr>
      <w:t>2</w:t>
    </w:r>
    <w:r>
      <w:rPr>
        <w:noProof/>
      </w:rPr>
      <w:fldChar w:fldCharType="end"/>
    </w:r>
    <w:r w:rsidR="003675C4">
      <w:t xml:space="preserve"> of </w:t>
    </w:r>
    <w:r w:rsidR="00212832">
      <w:fldChar w:fldCharType="begin"/>
    </w:r>
    <w:r w:rsidR="00212832">
      <w:instrText xml:space="preserve"> NUMPAGES  \* MERGEFORMAT </w:instrText>
    </w:r>
    <w:r w:rsidR="00212832">
      <w:fldChar w:fldCharType="separate"/>
    </w:r>
    <w:r w:rsidR="00397047">
      <w:rPr>
        <w:noProof/>
      </w:rPr>
      <w:t>2</w:t>
    </w:r>
    <w:r w:rsidR="0021283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0F07FC">
    <w:pPr>
      <w:pStyle w:val="Footer"/>
    </w:pPr>
    <w:r>
      <w:fldChar w:fldCharType="begin"/>
    </w:r>
    <w:r>
      <w:instrText xml:space="preserve"> PAGE  \* MERGEFORMAT </w:instrText>
    </w:r>
    <w:r>
      <w:fldChar w:fldCharType="separate"/>
    </w:r>
    <w:r w:rsidR="000439A8">
      <w:rPr>
        <w:noProof/>
      </w:rPr>
      <w:t>3</w:t>
    </w:r>
    <w:r>
      <w:rPr>
        <w:noProof/>
      </w:rPr>
      <w:fldChar w:fldCharType="end"/>
    </w:r>
    <w:r w:rsidR="003675C4">
      <w:t xml:space="preserve"> of </w:t>
    </w:r>
    <w:r w:rsidR="00212832">
      <w:fldChar w:fldCharType="begin"/>
    </w:r>
    <w:r w:rsidR="00212832">
      <w:instrText xml:space="preserve"> NUMPAGES  \* MERGEFORMAT </w:instrText>
    </w:r>
    <w:r w:rsidR="00212832">
      <w:fldChar w:fldCharType="separate"/>
    </w:r>
    <w:r w:rsidR="000439A8">
      <w:rPr>
        <w:noProof/>
      </w:rPr>
      <w:t>3</w:t>
    </w:r>
    <w:r w:rsidR="0021283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Address"/>
    </w:pPr>
    <w:bookmarkStart w:id="1" w:name="FirstPageFooter"/>
    <w:bookmarkEnd w:id="1"/>
    <w:r>
      <w:t>PricewaterhouseCoopers LLP, 1 Embankment Place. London, WC2N 6RH</w:t>
    </w:r>
  </w:p>
  <w:p w:rsidR="00E57577" w:rsidRDefault="003675C4">
    <w:pPr>
      <w:pStyle w:val="Address"/>
    </w:pPr>
    <w:r>
      <w:t>T: +44 (0)207 213 1768, www.ukmediacentre.pwc.com</w:t>
    </w:r>
  </w:p>
  <w:p w:rsidR="00E57577" w:rsidRDefault="00E5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32" w:rsidRDefault="00212832">
      <w:pPr>
        <w:spacing w:line="240" w:lineRule="auto"/>
      </w:pPr>
      <w:r>
        <w:separator/>
      </w:r>
    </w:p>
  </w:footnote>
  <w:footnote w:type="continuationSeparator" w:id="0">
    <w:p w:rsidR="00212832" w:rsidRDefault="002128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E5A50"/>
    <w:multiLevelType w:val="hybridMultilevel"/>
    <w:tmpl w:val="A5B8FD4E"/>
    <w:lvl w:ilvl="0" w:tplc="B1FA45DE">
      <w:start w:val="1"/>
      <w:numFmt w:val="decimal"/>
      <w:lvlText w:val="%1."/>
      <w:lvlJc w:val="left"/>
      <w:pPr>
        <w:ind w:left="1080" w:hanging="360"/>
      </w:pPr>
      <w:rPr>
        <w:rFonts w:ascii="Georgia" w:hAnsi="Georgia"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nsid w:val="62290931"/>
    <w:multiLevelType w:val="hybridMultilevel"/>
    <w:tmpl w:val="49C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9"/>
  </w:num>
  <w:num w:numId="4">
    <w:abstractNumId w:val="24"/>
  </w:num>
  <w:num w:numId="5">
    <w:abstractNumId w:val="24"/>
    <w:lvlOverride w:ilvl="0">
      <w:startOverride w:val="1"/>
    </w:lvlOverride>
  </w:num>
  <w:num w:numId="6">
    <w:abstractNumId w:val="5"/>
  </w:num>
  <w:num w:numId="7">
    <w:abstractNumId w:val="13"/>
  </w:num>
  <w:num w:numId="8">
    <w:abstractNumId w:val="14"/>
  </w:num>
  <w:num w:numId="9">
    <w:abstractNumId w:val="12"/>
  </w:num>
  <w:num w:numId="10">
    <w:abstractNumId w:val="1"/>
  </w:num>
  <w:num w:numId="11">
    <w:abstractNumId w:val="3"/>
  </w:num>
  <w:num w:numId="12">
    <w:abstractNumId w:val="10"/>
  </w:num>
  <w:num w:numId="13">
    <w:abstractNumId w:val="7"/>
  </w:num>
  <w:num w:numId="14">
    <w:abstractNumId w:val="20"/>
  </w:num>
  <w:num w:numId="15">
    <w:abstractNumId w:val="17"/>
  </w:num>
  <w:num w:numId="16">
    <w:abstractNumId w:val="0"/>
    <w:lvlOverride w:ilvl="0">
      <w:lvl w:ilvl="0">
        <w:numFmt w:val="bullet"/>
        <w:lvlText w:val="•"/>
        <w:legacy w:legacy="1" w:legacySpace="0" w:legacyIndent="0"/>
        <w:lvlJc w:val="left"/>
        <w:rPr>
          <w:rFonts w:ascii="Helv" w:hAnsi="Helv" w:hint="default"/>
        </w:rPr>
      </w:lvl>
    </w:lvlOverride>
  </w:num>
  <w:num w:numId="17">
    <w:abstractNumId w:val="21"/>
  </w:num>
  <w:num w:numId="18">
    <w:abstractNumId w:val="19"/>
  </w:num>
  <w:num w:numId="19">
    <w:abstractNumId w:val="16"/>
  </w:num>
  <w:num w:numId="20">
    <w:abstractNumId w:val="11"/>
  </w:num>
  <w:num w:numId="21">
    <w:abstractNumId w:val="23"/>
  </w:num>
  <w:num w:numId="22">
    <w:abstractNumId w:val="18"/>
  </w:num>
  <w:num w:numId="23">
    <w:abstractNumId w:val="15"/>
  </w:num>
  <w:num w:numId="24">
    <w:abstractNumId w:val="8"/>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7"/>
    <w:rsid w:val="000439A8"/>
    <w:rsid w:val="00044D2A"/>
    <w:rsid w:val="0005213B"/>
    <w:rsid w:val="000E6801"/>
    <w:rsid w:val="000F07FC"/>
    <w:rsid w:val="00102A91"/>
    <w:rsid w:val="001B5A61"/>
    <w:rsid w:val="001B68C5"/>
    <w:rsid w:val="001F37F7"/>
    <w:rsid w:val="00205749"/>
    <w:rsid w:val="00212832"/>
    <w:rsid w:val="00253BDA"/>
    <w:rsid w:val="00272A86"/>
    <w:rsid w:val="00296B9E"/>
    <w:rsid w:val="002E567C"/>
    <w:rsid w:val="003116AB"/>
    <w:rsid w:val="003330AB"/>
    <w:rsid w:val="0034003F"/>
    <w:rsid w:val="00350928"/>
    <w:rsid w:val="003675C4"/>
    <w:rsid w:val="00397047"/>
    <w:rsid w:val="003B3803"/>
    <w:rsid w:val="003B4C1A"/>
    <w:rsid w:val="006B2364"/>
    <w:rsid w:val="006E2848"/>
    <w:rsid w:val="006F05F9"/>
    <w:rsid w:val="0070122F"/>
    <w:rsid w:val="007322F3"/>
    <w:rsid w:val="00765244"/>
    <w:rsid w:val="00786883"/>
    <w:rsid w:val="007932C1"/>
    <w:rsid w:val="007B7FAA"/>
    <w:rsid w:val="008050B0"/>
    <w:rsid w:val="00835B98"/>
    <w:rsid w:val="0088477C"/>
    <w:rsid w:val="008C4030"/>
    <w:rsid w:val="008C42F2"/>
    <w:rsid w:val="00925AA4"/>
    <w:rsid w:val="009354AC"/>
    <w:rsid w:val="009C2BBC"/>
    <w:rsid w:val="009C571E"/>
    <w:rsid w:val="00A71327"/>
    <w:rsid w:val="00A822EB"/>
    <w:rsid w:val="00AF0ACF"/>
    <w:rsid w:val="00B54826"/>
    <w:rsid w:val="00B57C07"/>
    <w:rsid w:val="00B82BAA"/>
    <w:rsid w:val="00C02301"/>
    <w:rsid w:val="00C03720"/>
    <w:rsid w:val="00C878C9"/>
    <w:rsid w:val="00C96E18"/>
    <w:rsid w:val="00CB0BD8"/>
    <w:rsid w:val="00CC6AF9"/>
    <w:rsid w:val="00CD601C"/>
    <w:rsid w:val="00D4528E"/>
    <w:rsid w:val="00D75D8E"/>
    <w:rsid w:val="00DE79EF"/>
    <w:rsid w:val="00E0299F"/>
    <w:rsid w:val="00E16352"/>
    <w:rsid w:val="00E30D24"/>
    <w:rsid w:val="00E53AB9"/>
    <w:rsid w:val="00E57577"/>
    <w:rsid w:val="00E87477"/>
    <w:rsid w:val="00EC762A"/>
    <w:rsid w:val="00F8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semiHidden/>
    <w:unhideWhenUsed/>
    <w:rsid w:val="00E57577"/>
    <w:rPr>
      <w:sz w:val="16"/>
      <w:szCs w:val="16"/>
    </w:rPr>
  </w:style>
  <w:style w:type="paragraph" w:styleId="CommentText">
    <w:name w:val="annotation text"/>
    <w:basedOn w:val="Normal"/>
    <w:link w:val="CommentTextChar"/>
    <w:semiHidden/>
    <w:unhideWhenUsed/>
    <w:rsid w:val="00E57577"/>
    <w:rPr>
      <w:szCs w:val="20"/>
    </w:rPr>
  </w:style>
  <w:style w:type="character" w:customStyle="1" w:styleId="CommentTextChar">
    <w:name w:val="Comment Text Char"/>
    <w:basedOn w:val="DefaultParagraphFont"/>
    <w:link w:val="CommentText"/>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semiHidden/>
    <w:unhideWhenUsed/>
    <w:rsid w:val="00E57577"/>
    <w:rPr>
      <w:sz w:val="16"/>
      <w:szCs w:val="16"/>
    </w:rPr>
  </w:style>
  <w:style w:type="paragraph" w:styleId="CommentText">
    <w:name w:val="annotation text"/>
    <w:basedOn w:val="Normal"/>
    <w:link w:val="CommentTextChar"/>
    <w:semiHidden/>
    <w:unhideWhenUsed/>
    <w:rsid w:val="00E57577"/>
    <w:rPr>
      <w:szCs w:val="20"/>
    </w:rPr>
  </w:style>
  <w:style w:type="character" w:customStyle="1" w:styleId="CommentTextChar">
    <w:name w:val="Comment Text Char"/>
    <w:basedOn w:val="DefaultParagraphFont"/>
    <w:link w:val="CommentText"/>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9AA2-2181-429E-A69B-F716587C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3792</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2013-05-09T10:06:00Z</cp:lastPrinted>
  <dcterms:created xsi:type="dcterms:W3CDTF">2014-06-24T13:21:00Z</dcterms:created>
  <dcterms:modified xsi:type="dcterms:W3CDTF">2014-06-24T13:21:00Z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-105885332</vt:i4>
  </property>
</Properties>
</file>