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4D704C">
            <w:r>
              <w:t xml:space="preserve">4 June </w:t>
            </w:r>
            <w:r w:rsidR="00B951B0">
              <w:t>201</w:t>
            </w:r>
            <w:r w:rsidR="00697732">
              <w:t>4</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297D87">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297D87">
              <w:rPr>
                <w:rFonts w:cs="Arial"/>
                <w:color w:val="000000"/>
                <w:lang w:val="fr-CH"/>
              </w:rPr>
              <w:t>+ 1 646-471-4039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297D87">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4051F3" w:rsidP="00F8769E">
            <w:r>
              <w:t>4</w:t>
            </w:r>
            <w:r w:rsidR="001E7D34">
              <w:t xml:space="preserve"> pages</w:t>
            </w:r>
          </w:p>
          <w:p w:rsidR="00AB4D60" w:rsidRDefault="00AB4D60" w:rsidP="00F8769E"/>
        </w:tc>
      </w:tr>
    </w:tbl>
    <w:p w:rsidR="00D81336" w:rsidRDefault="00D81336">
      <w:pPr>
        <w:pStyle w:val="Title"/>
        <w:rPr>
          <w:i w:val="0"/>
        </w:rPr>
      </w:pPr>
    </w:p>
    <w:p w:rsidR="004D704C" w:rsidRPr="004051F3" w:rsidRDefault="004D704C" w:rsidP="00227963">
      <w:pPr>
        <w:pStyle w:val="Body"/>
        <w:tabs>
          <w:tab w:val="left" w:pos="1664"/>
        </w:tabs>
        <w:jc w:val="center"/>
        <w:rPr>
          <w:b/>
          <w:sz w:val="28"/>
          <w:szCs w:val="28"/>
        </w:rPr>
      </w:pPr>
      <w:r w:rsidRPr="004051F3">
        <w:rPr>
          <w:b/>
          <w:sz w:val="28"/>
          <w:szCs w:val="28"/>
        </w:rPr>
        <w:t xml:space="preserve">PwC </w:t>
      </w:r>
      <w:r w:rsidR="00227963" w:rsidRPr="004051F3">
        <w:rPr>
          <w:b/>
          <w:sz w:val="28"/>
          <w:szCs w:val="28"/>
        </w:rPr>
        <w:t xml:space="preserve">Issues </w:t>
      </w:r>
      <w:r w:rsidR="00227963">
        <w:rPr>
          <w:b/>
          <w:sz w:val="28"/>
          <w:szCs w:val="28"/>
        </w:rPr>
        <w:br/>
      </w:r>
      <w:r w:rsidR="00227963" w:rsidRPr="004051F3">
        <w:rPr>
          <w:b/>
          <w:sz w:val="28"/>
          <w:szCs w:val="28"/>
        </w:rPr>
        <w:t xml:space="preserve">Global Entertainment And Media Outlook </w:t>
      </w:r>
      <w:r w:rsidRPr="004051F3">
        <w:rPr>
          <w:b/>
          <w:sz w:val="28"/>
          <w:szCs w:val="28"/>
        </w:rPr>
        <w:t>2014-2018</w:t>
      </w:r>
    </w:p>
    <w:p w:rsidR="004D704C" w:rsidRDefault="004D704C" w:rsidP="004D704C"/>
    <w:p w:rsidR="004051F3" w:rsidRPr="004051F3" w:rsidRDefault="00227963" w:rsidP="004051F3">
      <w:pPr>
        <w:rPr>
          <w:szCs w:val="20"/>
        </w:rPr>
      </w:pPr>
      <w:r>
        <w:rPr>
          <w:szCs w:val="20"/>
          <w:lang w:val="en-US"/>
        </w:rPr>
        <w:t xml:space="preserve">New York, 3 June 2014 </w:t>
      </w:r>
      <w:r>
        <w:rPr>
          <w:szCs w:val="20"/>
          <w:lang w:val="en-US"/>
        </w:rPr>
        <w:noBreakHyphen/>
      </w:r>
      <w:r>
        <w:rPr>
          <w:szCs w:val="20"/>
          <w:lang w:val="en-US"/>
        </w:rPr>
        <w:noBreakHyphen/>
        <w:t xml:space="preserve"> </w:t>
      </w:r>
      <w:bookmarkStart w:id="0" w:name="_GoBack"/>
      <w:bookmarkEnd w:id="0"/>
      <w:r w:rsidR="004051F3" w:rsidRPr="004051F3">
        <w:rPr>
          <w:szCs w:val="20"/>
          <w:lang w:val="en-US"/>
        </w:rPr>
        <w:t>Total entertainment and media spending on digital services</w:t>
      </w:r>
      <w:r w:rsidR="004051F3" w:rsidRPr="004051F3">
        <w:rPr>
          <w:szCs w:val="20"/>
        </w:rPr>
        <w:t xml:space="preserve"> </w:t>
      </w:r>
      <w:r w:rsidR="004051F3" w:rsidRPr="004051F3">
        <w:rPr>
          <w:szCs w:val="20"/>
          <w:lang w:val="en-US"/>
        </w:rPr>
        <w:t>is forecast to grow at a 12.2% compound annual growth rate (CAGR) between 2013 and 2018 and account for 65% of global entertainment and media spending growth, exclud</w:t>
      </w:r>
      <w:r w:rsidR="00D434C0">
        <w:rPr>
          <w:szCs w:val="20"/>
          <w:lang w:val="en-US"/>
        </w:rPr>
        <w:t>ing spending on Internet access</w:t>
      </w:r>
      <w:r w:rsidR="004051F3" w:rsidRPr="004051F3">
        <w:rPr>
          <w:szCs w:val="20"/>
          <w:lang w:val="en-US"/>
        </w:rPr>
        <w:t xml:space="preserve">. Advertising is leading the way; in 2018, 33% of total advertising revenue is forecast to be digital, compared to 17% of consumer revenue. </w:t>
      </w:r>
    </w:p>
    <w:p w:rsidR="004051F3" w:rsidRPr="004051F3" w:rsidRDefault="004051F3" w:rsidP="004051F3">
      <w:pPr>
        <w:rPr>
          <w:szCs w:val="20"/>
        </w:rPr>
      </w:pPr>
    </w:p>
    <w:p w:rsidR="004051F3" w:rsidRPr="004051F3" w:rsidRDefault="004051F3" w:rsidP="004051F3">
      <w:pPr>
        <w:rPr>
          <w:szCs w:val="20"/>
        </w:rPr>
      </w:pPr>
      <w:r w:rsidRPr="004051F3">
        <w:rPr>
          <w:szCs w:val="20"/>
          <w:lang w:val="en-US"/>
        </w:rPr>
        <w:t xml:space="preserve">However, profiting from the migration by increasing revenue from digital consumers will not just be about the application of </w:t>
      </w:r>
      <w:r w:rsidRPr="004051F3">
        <w:rPr>
          <w:szCs w:val="20"/>
        </w:rPr>
        <w:t xml:space="preserve">digital </w:t>
      </w:r>
      <w:r w:rsidRPr="004051F3">
        <w:rPr>
          <w:szCs w:val="20"/>
          <w:lang w:val="en-US"/>
        </w:rPr>
        <w:t xml:space="preserve">technology. It will be about applying a </w:t>
      </w:r>
      <w:r w:rsidRPr="004051F3">
        <w:rPr>
          <w:szCs w:val="20"/>
        </w:rPr>
        <w:t>‘</w:t>
      </w:r>
      <w:r w:rsidRPr="004051F3">
        <w:rPr>
          <w:szCs w:val="20"/>
          <w:lang w:val="nl-NL"/>
        </w:rPr>
        <w:t>digital mindset</w:t>
      </w:r>
      <w:r w:rsidRPr="004051F3">
        <w:rPr>
          <w:szCs w:val="20"/>
          <w:lang w:val="fr-FR"/>
        </w:rPr>
        <w:t xml:space="preserve">’ </w:t>
      </w:r>
      <w:r w:rsidRPr="004051F3">
        <w:rPr>
          <w:szCs w:val="20"/>
          <w:lang w:val="en-US"/>
        </w:rPr>
        <w:t>to build the right behaviours, advancing from a digital strategy to a business strategy fit for a digital age, according to PwC</w:t>
      </w:r>
      <w:r w:rsidRPr="004051F3">
        <w:rPr>
          <w:szCs w:val="20"/>
          <w:lang w:val="fr-FR"/>
        </w:rPr>
        <w:t>’</w:t>
      </w:r>
      <w:r w:rsidRPr="004051F3">
        <w:rPr>
          <w:szCs w:val="20"/>
        </w:rPr>
        <w:t xml:space="preserve">s </w:t>
      </w:r>
      <w:r w:rsidRPr="004051F3">
        <w:rPr>
          <w:i/>
          <w:iCs/>
          <w:szCs w:val="20"/>
          <w:lang w:val="en-US"/>
        </w:rPr>
        <w:t>Global entertainment and media outlook 2014-2018</w:t>
      </w:r>
      <w:r w:rsidRPr="004051F3">
        <w:rPr>
          <w:szCs w:val="20"/>
          <w:lang w:val="nl-NL"/>
        </w:rPr>
        <w:t xml:space="preserve"> (Outlook).</w:t>
      </w:r>
    </w:p>
    <w:p w:rsidR="004051F3" w:rsidRPr="004051F3" w:rsidRDefault="004051F3" w:rsidP="004051F3">
      <w:pPr>
        <w:rPr>
          <w:szCs w:val="20"/>
        </w:rPr>
      </w:pPr>
    </w:p>
    <w:p w:rsidR="004051F3" w:rsidRDefault="004051F3" w:rsidP="004051F3">
      <w:pPr>
        <w:rPr>
          <w:szCs w:val="20"/>
          <w:lang w:val="en-US"/>
        </w:rPr>
      </w:pPr>
      <w:r w:rsidRPr="004051F3">
        <w:rPr>
          <w:szCs w:val="20"/>
        </w:rPr>
        <w:t>Marcel Fenez, PwC</w:t>
      </w:r>
      <w:r w:rsidRPr="004051F3">
        <w:rPr>
          <w:szCs w:val="20"/>
          <w:lang w:val="fr-FR"/>
        </w:rPr>
        <w:t>’</w:t>
      </w:r>
      <w:r w:rsidRPr="004051F3">
        <w:rPr>
          <w:szCs w:val="20"/>
          <w:lang w:val="en-US"/>
        </w:rPr>
        <w:t>s Global leader, entertainment &amp; media, says:</w:t>
      </w:r>
    </w:p>
    <w:p w:rsidR="00D434C0" w:rsidRPr="004051F3" w:rsidRDefault="00D434C0" w:rsidP="004051F3">
      <w:pPr>
        <w:rPr>
          <w:szCs w:val="20"/>
        </w:rPr>
      </w:pPr>
    </w:p>
    <w:p w:rsidR="004051F3" w:rsidRPr="004051F3" w:rsidRDefault="004051F3" w:rsidP="004051F3">
      <w:pPr>
        <w:rPr>
          <w:szCs w:val="20"/>
          <w:lang w:val="en-US"/>
        </w:rPr>
      </w:pPr>
      <w:r w:rsidRPr="004051F3">
        <w:rPr>
          <w:szCs w:val="20"/>
        </w:rPr>
        <w:t>“</w:t>
      </w:r>
      <w:r w:rsidRPr="004051F3">
        <w:rPr>
          <w:szCs w:val="20"/>
          <w:lang w:val="en-US"/>
        </w:rPr>
        <w:t xml:space="preserve">The bedrock of a strategy fit for the digital age is the digital mindset: getting ever closer to the customer </w:t>
      </w:r>
      <w:r w:rsidRPr="004051F3">
        <w:rPr>
          <w:szCs w:val="20"/>
        </w:rPr>
        <w:t xml:space="preserve">– </w:t>
      </w:r>
      <w:r w:rsidRPr="004051F3">
        <w:rPr>
          <w:szCs w:val="20"/>
          <w:lang w:val="en-US"/>
        </w:rPr>
        <w:t>across the entire organisation, and in everything it does. We now see that mindset embedded in many entertainment and media companies. But the industry needs to get even closer to the consumer and adopt more flexible business models. To do this, companies must exhibit three behaviours: forging trust with consumers; creating the confidence to move with speed and agility; and empowering innovation. This will be an important step in monetising the digital consumer.</w:t>
      </w:r>
      <w:r w:rsidRPr="004051F3">
        <w:rPr>
          <w:szCs w:val="20"/>
        </w:rPr>
        <w:t>”</w:t>
      </w:r>
    </w:p>
    <w:p w:rsidR="004051F3" w:rsidRDefault="004051F3" w:rsidP="004051F3">
      <w:pPr>
        <w:pStyle w:val="Body"/>
        <w:rPr>
          <w:lang w:val="en-US"/>
        </w:rPr>
      </w:pPr>
    </w:p>
    <w:p w:rsidR="004051F3" w:rsidRPr="004051F3" w:rsidRDefault="004051F3" w:rsidP="004051F3">
      <w:pPr>
        <w:rPr>
          <w:rFonts w:eastAsia="Georgia Bold" w:hAnsi="Georgia Bold" w:cs="Georgia Bold"/>
          <w:b/>
        </w:rPr>
      </w:pPr>
      <w:r w:rsidRPr="004051F3">
        <w:rPr>
          <w:b/>
          <w:lang w:val="en-US"/>
        </w:rPr>
        <w:t>Approaching a significant advertising tipping point</w:t>
      </w:r>
    </w:p>
    <w:p w:rsidR="004051F3" w:rsidRDefault="004051F3" w:rsidP="004051F3">
      <w:r>
        <w:rPr>
          <w:rFonts w:eastAsia="Arial Unicode MS" w:hAnsi="Arial Unicode MS" w:cs="Arial Unicode MS"/>
          <w:lang w:val="en-US"/>
        </w:rPr>
        <w:t xml:space="preserve">Mobile Internet penetration will reach 55% in 2018, which will help drive digital advertising to increase its share of total advertising revenue to 33% by 2018, up from 14% in 2009. With Internet advertising growing at a 10.7% CAGR (compared to a total advertising CAGR of 4.4%), the industry is approaching a significant tipping point: in 2018, Internet advertising will be poised to </w:t>
      </w:r>
      <w:r>
        <w:rPr>
          <w:rFonts w:eastAsia="Arial Unicode MS" w:hAnsi="Arial Unicode MS" w:cs="Arial Unicode MS"/>
          <w:lang w:val="de-DE"/>
        </w:rPr>
        <w:t xml:space="preserve">surpass </w:t>
      </w:r>
      <w:r>
        <w:rPr>
          <w:rFonts w:eastAsia="Arial Unicode MS" w:hAnsi="Arial Unicode MS" w:cs="Arial Unicode MS"/>
          <w:lang w:val="en-US"/>
        </w:rPr>
        <w:t>TV advertising. In 2009, TV advertising was double that of Internet advertising</w:t>
      </w:r>
      <w:r>
        <w:rPr>
          <w:rFonts w:eastAsia="Arial Unicode MS" w:hAnsi="Arial Unicode MS" w:cs="Arial Unicode MS"/>
        </w:rPr>
        <w:t xml:space="preserve">; </w:t>
      </w:r>
      <w:r>
        <w:rPr>
          <w:rFonts w:eastAsia="Arial Unicode MS" w:hAnsi="Arial Unicode MS" w:cs="Arial Unicode MS"/>
          <w:lang w:val="en-US"/>
        </w:rPr>
        <w:t xml:space="preserve">in 2018, Internet advertising will </w:t>
      </w:r>
      <w:r>
        <w:rPr>
          <w:rFonts w:eastAsia="Arial Unicode MS" w:hAnsi="Arial Unicode MS" w:cs="Arial Unicode MS"/>
          <w:lang w:val="fr-FR"/>
        </w:rPr>
        <w:t>trail</w:t>
      </w:r>
      <w:r>
        <w:rPr>
          <w:rFonts w:eastAsia="Arial Unicode MS" w:hAnsi="Arial Unicode MS" w:cs="Arial Unicode MS"/>
          <w:lang w:val="en-US"/>
        </w:rPr>
        <w:t xml:space="preserve"> TV advertising by </w:t>
      </w:r>
      <w:r>
        <w:rPr>
          <w:rFonts w:eastAsia="Arial Unicode MS" w:hAnsi="Arial Unicode MS" w:cs="Arial Unicode MS"/>
        </w:rPr>
        <w:t>just US$20bn. M</w:t>
      </w:r>
      <w:r>
        <w:rPr>
          <w:rFonts w:eastAsia="Arial Unicode MS" w:hAnsi="Arial Unicode MS" w:cs="Arial Unicode MS"/>
          <w:lang w:val="en-US"/>
        </w:rPr>
        <w:t xml:space="preserve">obile Internet advertising </w:t>
      </w:r>
      <w:r>
        <w:rPr>
          <w:rFonts w:eastAsia="Arial Unicode MS" w:hAnsi="Arial Unicode MS" w:cs="Arial Unicode MS"/>
        </w:rPr>
        <w:t xml:space="preserve">is </w:t>
      </w:r>
      <w:r>
        <w:rPr>
          <w:rFonts w:eastAsia="Arial Unicode MS" w:hAnsi="Arial Unicode MS" w:cs="Arial Unicode MS"/>
          <w:lang w:val="da-DK"/>
        </w:rPr>
        <w:t xml:space="preserve">forecast </w:t>
      </w:r>
      <w:r w:rsidR="00D434C0">
        <w:rPr>
          <w:rFonts w:eastAsia="Arial Unicode MS" w:hAnsi="Arial Unicode MS" w:cs="Arial Unicode MS"/>
          <w:lang w:val="en-US"/>
        </w:rPr>
        <w:t xml:space="preserve">to grow at a </w:t>
      </w:r>
      <w:r>
        <w:rPr>
          <w:rFonts w:eastAsia="Arial Unicode MS" w:hAnsi="Arial Unicode MS" w:cs="Arial Unicode MS"/>
          <w:lang w:val="en-US"/>
        </w:rPr>
        <w:t>CAGR of 21.5%.</w:t>
      </w:r>
      <w:r>
        <w:rPr>
          <w:rFonts w:eastAsia="Arial Unicode MS" w:hAnsi="Arial Unicode MS" w:cs="Arial Unicode MS"/>
        </w:rPr>
        <w:t xml:space="preserve"> </w:t>
      </w:r>
    </w:p>
    <w:p w:rsidR="004051F3" w:rsidRDefault="004051F3" w:rsidP="004051F3"/>
    <w:p w:rsidR="004051F3" w:rsidRPr="004051F3" w:rsidRDefault="004051F3" w:rsidP="004051F3">
      <w:pPr>
        <w:rPr>
          <w:rFonts w:eastAsia="Georgia Bold" w:hAnsi="Georgia Bold" w:cs="Georgia Bold"/>
          <w:b/>
        </w:rPr>
      </w:pPr>
      <w:r w:rsidRPr="004051F3">
        <w:rPr>
          <w:b/>
          <w:lang w:val="en-US"/>
        </w:rPr>
        <w:t xml:space="preserve">Monetising the digital consumer: challenge and opportunity </w:t>
      </w:r>
    </w:p>
    <w:p w:rsidR="004051F3" w:rsidRDefault="004051F3" w:rsidP="004051F3">
      <w:pPr>
        <w:pStyle w:val="NoSpacing"/>
      </w:pPr>
      <w:r>
        <w:rPr>
          <w:lang w:val="en-US"/>
        </w:rPr>
        <w:t>Spending on digitally delivered content will account for only 17% of total consumer spending in 2018 (excluding spending on Internet access)</w:t>
      </w:r>
      <w:r>
        <w:rPr>
          <w:sz w:val="16"/>
          <w:szCs w:val="16"/>
        </w:rPr>
        <w:t>,</w:t>
      </w:r>
      <w:r>
        <w:rPr>
          <w:lang w:val="en-US"/>
        </w:rPr>
        <w:t xml:space="preserve"> compared to 33% of total advertising spending. However, the growth of </w:t>
      </w:r>
      <w:r>
        <w:rPr>
          <w:rFonts w:ascii="Arial Unicode MS"/>
        </w:rPr>
        <w:t>‘</w:t>
      </w:r>
      <w:r>
        <w:t xml:space="preserve">24/7 </w:t>
      </w:r>
      <w:r>
        <w:rPr>
          <w:lang w:val="it-IT"/>
        </w:rPr>
        <w:t>access</w:t>
      </w:r>
      <w:r w:rsidR="00D434C0">
        <w:rPr>
          <w:lang w:val="it-IT"/>
        </w:rPr>
        <w:t>’</w:t>
      </w:r>
      <w:r>
        <w:rPr>
          <w:lang w:val="en-US"/>
        </w:rPr>
        <w:t xml:space="preserve"> and micro-transactions suggest that the key to monetising the digital consumer is to adopt flexible business models that offer more choice</w:t>
      </w:r>
      <w:r>
        <w:t>s</w:t>
      </w:r>
      <w:r>
        <w:rPr>
          <w:lang w:val="en-US"/>
        </w:rPr>
        <w:t xml:space="preserve"> and better experiences. Electronic home </w:t>
      </w:r>
      <w:r>
        <w:rPr>
          <w:lang w:val="en-US"/>
        </w:rPr>
        <w:lastRenderedPageBreak/>
        <w:t xml:space="preserve">video over-the-top (OTT)/streaming and digital music streaming are two of the fastest-growing consumer sub-segments cited in the Outlook, set to rise at annual rates of 28.1% and 13.4% respectively. </w:t>
      </w:r>
    </w:p>
    <w:p w:rsidR="004051F3" w:rsidRDefault="004051F3" w:rsidP="004051F3">
      <w:pPr>
        <w:pStyle w:val="NoSpacing"/>
      </w:pPr>
    </w:p>
    <w:p w:rsidR="004051F3" w:rsidRPr="00AB4D60" w:rsidRDefault="004051F3" w:rsidP="004051F3">
      <w:pPr>
        <w:pStyle w:val="NoSpacing"/>
        <w:rPr>
          <w:rFonts w:ascii="Georgia Bold" w:eastAsia="Georgia Bold" w:hAnsi="Georgia Bold" w:cs="Georgia Bold"/>
        </w:rPr>
      </w:pPr>
      <w:r w:rsidRPr="00AB4D60">
        <w:rPr>
          <w:rFonts w:ascii="Georgia Bold"/>
          <w:lang w:val="en-US"/>
        </w:rPr>
        <w:t>Nine markets driving growth</w:t>
      </w:r>
    </w:p>
    <w:p w:rsidR="004051F3" w:rsidRDefault="004051F3" w:rsidP="004051F3">
      <w:pPr>
        <w:pStyle w:val="NoSpacing"/>
      </w:pPr>
      <w:r>
        <w:rPr>
          <w:lang w:val="en-US"/>
        </w:rPr>
        <w:t xml:space="preserve">Nine high-growth markets are powering global entertainment and media revenue. China, Brazil, Russia, India, Mexico, South Africa, Turkey, Argentina and Indonesia collectively </w:t>
      </w:r>
      <w:r>
        <w:t xml:space="preserve">are </w:t>
      </w:r>
      <w:r>
        <w:rPr>
          <w:lang w:val="en-US"/>
        </w:rPr>
        <w:t>forecast to account for 21.7% of global entertainment and media revenue in 2018, up from just 12.4% in 2009. Also in 2018, China will overtake Japan as the world</w:t>
      </w:r>
      <w:r>
        <w:rPr>
          <w:rFonts w:ascii="Arial Unicode MS"/>
          <w:lang w:val="fr-FR"/>
        </w:rPr>
        <w:t>’</w:t>
      </w:r>
      <w:r>
        <w:rPr>
          <w:lang w:val="en-US"/>
        </w:rPr>
        <w:t xml:space="preserve">s second-largest entertainment and media market, behind only the US.  </w:t>
      </w:r>
    </w:p>
    <w:p w:rsidR="004051F3" w:rsidRDefault="004051F3" w:rsidP="004051F3">
      <w:pPr>
        <w:pStyle w:val="NoSpacing"/>
      </w:pPr>
    </w:p>
    <w:p w:rsidR="004051F3" w:rsidRDefault="004051F3" w:rsidP="004051F3">
      <w:pPr>
        <w:pStyle w:val="NoSpacing"/>
        <w:rPr>
          <w:lang w:val="en-US"/>
        </w:rPr>
      </w:pPr>
      <w:r>
        <w:t>Marcel Fenez, PwC</w:t>
      </w:r>
      <w:r>
        <w:rPr>
          <w:rFonts w:ascii="Arial Unicode MS"/>
          <w:lang w:val="fr-FR"/>
        </w:rPr>
        <w:t>’</w:t>
      </w:r>
      <w:r>
        <w:rPr>
          <w:lang w:val="en-US"/>
        </w:rPr>
        <w:t>s Global leader, entertainment and media, says:</w:t>
      </w:r>
    </w:p>
    <w:p w:rsidR="00D434C0" w:rsidRDefault="00D434C0" w:rsidP="004051F3">
      <w:pPr>
        <w:pStyle w:val="NoSpacing"/>
      </w:pPr>
    </w:p>
    <w:p w:rsidR="004051F3" w:rsidRDefault="004051F3" w:rsidP="004051F3">
      <w:pPr>
        <w:pStyle w:val="NoSpacing"/>
      </w:pPr>
      <w:r>
        <w:rPr>
          <w:rFonts w:ascii="Arial Unicode MS"/>
        </w:rPr>
        <w:t>“</w:t>
      </w:r>
      <w:r>
        <w:rPr>
          <w:lang w:val="en-US"/>
        </w:rPr>
        <w:t xml:space="preserve">What all these markets have in common is a growing middle class boosting spending in entertainment and media. But the similarities stop </w:t>
      </w:r>
      <w:r>
        <w:t>t</w:t>
      </w:r>
      <w:r>
        <w:rPr>
          <w:lang w:val="en-US"/>
        </w:rPr>
        <w:t>here. Realising the revenue potential of these markets demands a deep understanding of the local context</w:t>
      </w:r>
      <w:r>
        <w:t>.</w:t>
      </w:r>
      <w:r>
        <w:rPr>
          <w:lang w:val="en-US"/>
        </w:rPr>
        <w:t>Given their intimate local market knowledge, domestic organisations are in prime position to realise the opportunity of the emerging middle class The optimal approach for international players will most certainly be to collaborate with local partners.</w:t>
      </w:r>
      <w:r>
        <w:rPr>
          <w:rFonts w:ascii="Arial Unicode MS"/>
        </w:rPr>
        <w:t>”</w:t>
      </w:r>
    </w:p>
    <w:p w:rsidR="004051F3" w:rsidRDefault="004051F3" w:rsidP="004051F3">
      <w:pPr>
        <w:pStyle w:val="NoSpacing"/>
      </w:pPr>
    </w:p>
    <w:p w:rsidR="004051F3" w:rsidRDefault="004051F3" w:rsidP="004051F3">
      <w:pPr>
        <w:pStyle w:val="Body"/>
        <w:keepNext/>
        <w:keepLines/>
        <w:spacing w:after="40" w:line="240" w:lineRule="auto"/>
        <w:outlineLvl w:val="1"/>
        <w:rPr>
          <w:b/>
          <w:bCs/>
          <w:i/>
          <w:iCs/>
          <w:lang w:val="en-US"/>
        </w:rPr>
      </w:pPr>
      <w:r>
        <w:rPr>
          <w:b/>
          <w:bCs/>
          <w:i/>
          <w:iCs/>
          <w:lang w:val="en-US"/>
        </w:rPr>
        <w:t>Advertising is spearheading the migration to digital as it follows eyeballs online</w:t>
      </w:r>
      <w:r w:rsidR="00D434C0">
        <w:rPr>
          <w:b/>
          <w:bCs/>
          <w:i/>
          <w:iCs/>
          <w:lang w:val="en-US"/>
        </w:rPr>
        <w:t>:</w:t>
      </w:r>
    </w:p>
    <w:p w:rsidR="00D434C0" w:rsidRDefault="00D434C0" w:rsidP="004051F3">
      <w:pPr>
        <w:pStyle w:val="Body"/>
        <w:keepNext/>
        <w:keepLines/>
        <w:spacing w:after="40" w:line="240" w:lineRule="auto"/>
        <w:outlineLvl w:val="1"/>
        <w:rPr>
          <w:rFonts w:ascii="Georgia Bold" w:eastAsia="Georgia Bold" w:hAnsi="Georgia Bold" w:cs="Georgia Bold"/>
        </w:rPr>
      </w:pPr>
    </w:p>
    <w:p w:rsidR="004051F3" w:rsidRDefault="004051F3" w:rsidP="004051F3">
      <w:pPr>
        <w:pStyle w:val="Body"/>
        <w:numPr>
          <w:ilvl w:val="0"/>
          <w:numId w:val="25"/>
        </w:numPr>
        <w:tabs>
          <w:tab w:val="num" w:pos="720"/>
        </w:tabs>
        <w:ind w:left="720" w:hanging="360"/>
      </w:pPr>
      <w:r>
        <w:rPr>
          <w:rFonts w:ascii="Georgia Bold"/>
          <w:lang w:val="en-US"/>
        </w:rPr>
        <w:t xml:space="preserve">Internet TV advertising will double its share of total TV advertising revenue in the next five years. </w:t>
      </w:r>
      <w:r>
        <w:rPr>
          <w:rFonts w:eastAsia="Arial Unicode MS" w:hAnsi="Arial Unicode MS" w:cs="Arial Unicode MS"/>
          <w:lang w:val="en-US"/>
        </w:rPr>
        <w:t>Internet TV advertising revenue from traditional broadcasters will increase from US$3.7bn in 2013 to US$9.7bn in 2018, and more than double its share of total TV advertising from 2.2% in 2013 to 4.5% in 2018. Traditional broadcasters still dominate and are adapting to the Internet video opportunity, creating a significant new revenue stream despite competition from Internet rivals.</w:t>
      </w:r>
    </w:p>
    <w:p w:rsidR="004051F3" w:rsidRDefault="004051F3" w:rsidP="004051F3">
      <w:pPr>
        <w:pStyle w:val="Body"/>
        <w:numPr>
          <w:ilvl w:val="0"/>
          <w:numId w:val="26"/>
        </w:numPr>
        <w:tabs>
          <w:tab w:val="num" w:pos="926"/>
        </w:tabs>
        <w:ind w:left="720" w:hanging="360"/>
      </w:pPr>
      <w:r>
        <w:rPr>
          <w:rFonts w:ascii="Georgia Bold"/>
          <w:lang w:val="en-US"/>
        </w:rPr>
        <w:t>Mobile advertising will overtake classified Internet advertising in 2014.</w:t>
      </w:r>
      <w:r>
        <w:rPr>
          <w:rFonts w:eastAsia="Arial Unicode MS" w:hAnsi="Arial Unicode MS" w:cs="Arial Unicode MS"/>
          <w:lang w:val="en-US"/>
        </w:rPr>
        <w:t xml:space="preserve"> Global mobile Internet advertising revenue is forecast to leapfrog classified Internet advertising to become the third-largest Internet advertising channel with revenues of US$18.9bn in 2014. But after four particularly strong years, driven by the launch of a range of tablets, the annual rate of mobile revenue growth is falling back to the levels seen prior to their introduction. Advertisers</w:t>
      </w:r>
      <w:r>
        <w:rPr>
          <w:rFonts w:eastAsia="Arial Unicode MS" w:hAnsi="Arial Unicode MS" w:cs="Arial Unicode MS"/>
        </w:rPr>
        <w:t xml:space="preserve"> now </w:t>
      </w:r>
      <w:r>
        <w:rPr>
          <w:rFonts w:eastAsia="Arial Unicode MS" w:hAnsi="Arial Unicode MS" w:cs="Arial Unicode MS"/>
          <w:lang w:val="en-US"/>
        </w:rPr>
        <w:t xml:space="preserve">must do more than simply migrate large-screen banners to handhelds to </w:t>
      </w:r>
      <w:r>
        <w:rPr>
          <w:rFonts w:eastAsia="Arial Unicode MS" w:hAnsi="Arial Unicode MS" w:cs="Arial Unicode MS"/>
        </w:rPr>
        <w:t>sustain</w:t>
      </w:r>
      <w:r>
        <w:rPr>
          <w:rFonts w:eastAsia="Arial Unicode MS" w:hAnsi="Arial Unicode MS" w:cs="Arial Unicode MS"/>
          <w:lang w:val="en-US"/>
        </w:rPr>
        <w:t xml:space="preserve"> such growth</w:t>
      </w:r>
      <w:r>
        <w:rPr>
          <w:rFonts w:eastAsia="Arial Unicode MS" w:hAnsi="Arial Unicode MS" w:cs="Arial Unicode MS"/>
        </w:rPr>
        <w:t>.</w:t>
      </w:r>
    </w:p>
    <w:p w:rsidR="004051F3" w:rsidRDefault="004051F3" w:rsidP="004051F3">
      <w:pPr>
        <w:pStyle w:val="Body"/>
        <w:numPr>
          <w:ilvl w:val="0"/>
          <w:numId w:val="27"/>
        </w:numPr>
        <w:tabs>
          <w:tab w:val="num" w:pos="1209"/>
        </w:tabs>
        <w:ind w:left="720" w:hanging="360"/>
      </w:pPr>
      <w:r>
        <w:rPr>
          <w:rFonts w:ascii="Georgia Bold"/>
          <w:lang w:val="en-US"/>
        </w:rPr>
        <w:t>Digital consumer magazine advertising revenue is much larger than digital circulation.</w:t>
      </w:r>
      <w:r>
        <w:rPr>
          <w:rFonts w:eastAsia="Arial Unicode MS" w:hAnsi="Arial Unicode MS" w:cs="Arial Unicode MS"/>
          <w:lang w:val="en-US"/>
        </w:rPr>
        <w:t xml:space="preserve"> Global digital consumer magazine advertising revenue will be US$12.4bn in 2018, rising at a 17.6% CAGR; digital circulation revenue will be just US$5.7bn in the same year. This compares to a decline of -3.9% CAGR for consumer magazine print advertising revenue. Currently advertising is centred on magazine websites, but, as digital circulations increase, electronic editions will become increasingly popular for advertisers.</w:t>
      </w:r>
    </w:p>
    <w:p w:rsidR="004051F3" w:rsidRDefault="004051F3" w:rsidP="004051F3">
      <w:pPr>
        <w:pStyle w:val="Body"/>
        <w:numPr>
          <w:ilvl w:val="0"/>
          <w:numId w:val="28"/>
        </w:numPr>
        <w:tabs>
          <w:tab w:val="num" w:pos="1492"/>
        </w:tabs>
        <w:ind w:left="720" w:hanging="360"/>
      </w:pPr>
      <w:r>
        <w:rPr>
          <w:rFonts w:ascii="Georgia Bold"/>
          <w:lang w:val="en-US"/>
        </w:rPr>
        <w:t>Digital out-of-home (DOOH) advertising revenue will see significant growth in fast-growth markets.</w:t>
      </w:r>
      <w:r>
        <w:rPr>
          <w:rFonts w:eastAsia="Arial Unicode MS" w:hAnsi="Arial Unicode MS" w:cs="Arial Unicode MS"/>
          <w:lang w:val="en-US"/>
        </w:rPr>
        <w:t xml:space="preserve"> DOOH advertising is driving overall OOH advertising growth globally at a CAGR of 16.2%. However, in certain fast-growing markets</w:t>
      </w:r>
      <w:r>
        <w:rPr>
          <w:rFonts w:eastAsia="Arial Unicode MS" w:hAnsi="Arial Unicode MS" w:cs="Arial Unicode MS"/>
        </w:rPr>
        <w:t xml:space="preserve">, </w:t>
      </w:r>
      <w:r>
        <w:rPr>
          <w:rFonts w:eastAsia="Arial Unicode MS" w:hAnsi="Arial Unicode MS" w:cs="Arial Unicode MS"/>
          <w:lang w:val="en-US"/>
        </w:rPr>
        <w:t>DOOH advertising revenue is forecast to grow even more rapidly, with CAGRs in excess of 30%</w:t>
      </w:r>
      <w:r>
        <w:rPr>
          <w:rFonts w:eastAsia="Arial Unicode MS" w:hAnsi="Arial Unicode MS" w:cs="Arial Unicode MS"/>
        </w:rPr>
        <w:t>.</w:t>
      </w:r>
      <w:r>
        <w:rPr>
          <w:rFonts w:eastAsia="Arial Unicode MS" w:hAnsi="Arial Unicode MS" w:cs="Arial Unicode MS"/>
          <w:lang w:val="en-US"/>
        </w:rPr>
        <w:t xml:space="preserve"> China is set to become the largest DOOH advertising market in the world by 2017.</w:t>
      </w:r>
    </w:p>
    <w:p w:rsidR="004051F3" w:rsidRDefault="004051F3" w:rsidP="004051F3">
      <w:pPr>
        <w:pStyle w:val="Body"/>
        <w:ind w:left="360"/>
      </w:pPr>
    </w:p>
    <w:p w:rsidR="004051F3" w:rsidRDefault="004051F3" w:rsidP="004051F3">
      <w:pPr>
        <w:pStyle w:val="Body"/>
        <w:keepNext/>
        <w:keepLines/>
        <w:spacing w:after="40" w:line="240" w:lineRule="auto"/>
        <w:outlineLvl w:val="1"/>
        <w:rPr>
          <w:b/>
          <w:bCs/>
          <w:i/>
          <w:iCs/>
        </w:rPr>
      </w:pPr>
      <w:r>
        <w:rPr>
          <w:b/>
          <w:bCs/>
          <w:i/>
          <w:iCs/>
        </w:rPr>
        <w:t>S</w:t>
      </w:r>
      <w:r>
        <w:rPr>
          <w:b/>
          <w:bCs/>
          <w:i/>
          <w:iCs/>
          <w:lang w:val="en-US"/>
        </w:rPr>
        <w:t>uccess in</w:t>
      </w:r>
      <w:r>
        <w:rPr>
          <w:b/>
          <w:bCs/>
          <w:i/>
          <w:iCs/>
        </w:rPr>
        <w:t xml:space="preserve"> making money from</w:t>
      </w:r>
      <w:r>
        <w:rPr>
          <w:b/>
          <w:bCs/>
          <w:i/>
          <w:iCs/>
          <w:lang w:val="en-US"/>
        </w:rPr>
        <w:t>the digital consumer can be found in offering choice and better experiences</w:t>
      </w:r>
    </w:p>
    <w:p w:rsidR="004051F3" w:rsidRDefault="004051F3" w:rsidP="004051F3">
      <w:pPr>
        <w:pStyle w:val="Body"/>
        <w:rPr>
          <w:b/>
          <w:bCs/>
          <w:i/>
          <w:iCs/>
        </w:rPr>
      </w:pPr>
    </w:p>
    <w:p w:rsidR="004051F3" w:rsidRDefault="004051F3" w:rsidP="004051F3">
      <w:pPr>
        <w:pStyle w:val="Body"/>
        <w:numPr>
          <w:ilvl w:val="0"/>
          <w:numId w:val="29"/>
        </w:numPr>
        <w:tabs>
          <w:tab w:val="num" w:pos="926"/>
        </w:tabs>
        <w:ind w:left="720" w:hanging="360"/>
        <w:rPr>
          <w:rFonts w:ascii="Georgia Bold" w:eastAsia="Georgia Bold" w:hAnsi="Georgia Bold" w:cs="Georgia Bold"/>
        </w:rPr>
      </w:pPr>
      <w:r>
        <w:rPr>
          <w:rFonts w:ascii="Georgia Bold"/>
          <w:lang w:val="en-US"/>
        </w:rPr>
        <w:t>Subscription TV will not be daunted by the rise of OTT</w:t>
      </w:r>
      <w:r>
        <w:rPr>
          <w:rFonts w:ascii="Georgia Bold"/>
        </w:rPr>
        <w:t xml:space="preserve"> </w:t>
      </w:r>
      <w:r>
        <w:rPr>
          <w:rFonts w:ascii="Georgia Bold"/>
          <w:lang w:val="en-US"/>
        </w:rPr>
        <w:t xml:space="preserve">as it grows across global markets. </w:t>
      </w:r>
      <w:r>
        <w:rPr>
          <w:lang w:val="en-US"/>
        </w:rPr>
        <w:t xml:space="preserve">Global subscription TV revenues (excluding licence fees) will grow at a CAGR of </w:t>
      </w:r>
      <w:r>
        <w:rPr>
          <w:lang w:val="en-US"/>
        </w:rPr>
        <w:lastRenderedPageBreak/>
        <w:t>3.5% over the next five years to US$236bn in 2018. This growth demonstrates that subscription TV is in a healthy position, assisted by the initiatives it has implemented to counter the impact of OTT and other disruptive influences.</w:t>
      </w:r>
    </w:p>
    <w:p w:rsidR="00D434C0" w:rsidRDefault="004051F3" w:rsidP="00D434C0">
      <w:pPr>
        <w:pStyle w:val="ListParagraph"/>
        <w:numPr>
          <w:ilvl w:val="0"/>
          <w:numId w:val="30"/>
        </w:numPr>
        <w:pBdr>
          <w:top w:val="nil"/>
          <w:left w:val="nil"/>
          <w:bottom w:val="nil"/>
          <w:right w:val="nil"/>
          <w:between w:val="nil"/>
          <w:bar w:val="nil"/>
        </w:pBdr>
        <w:tabs>
          <w:tab w:val="num" w:pos="1209"/>
        </w:tabs>
        <w:ind w:hanging="360"/>
        <w:contextualSpacing w:val="0"/>
      </w:pPr>
      <w:r>
        <w:rPr>
          <w:rFonts w:ascii="Georgia Bold"/>
        </w:rPr>
        <w:t>Box office resilience underscore</w:t>
      </w:r>
      <w:r w:rsidR="00D434C0">
        <w:rPr>
          <w:rFonts w:ascii="Georgia Bold"/>
        </w:rPr>
        <w:t xml:space="preserve">s the continuing popularity of </w:t>
      </w:r>
      <w:r>
        <w:rPr>
          <w:rFonts w:ascii="Georgia Bold"/>
        </w:rPr>
        <w:t>cinema.</w:t>
      </w:r>
      <w:r>
        <w:t xml:space="preserve"> Global box office revenue will exceed revenue from physical home video in 2014 and grow to US$45.9bn by 2018, from US$36.1bn in 2013, a 4.9% CAGR. In many growth markets, cinemas are being built to cater to the growing middle class.</w:t>
      </w:r>
    </w:p>
    <w:p w:rsidR="004051F3" w:rsidRDefault="004051F3" w:rsidP="00D434C0">
      <w:pPr>
        <w:pStyle w:val="ListParagraph"/>
        <w:numPr>
          <w:ilvl w:val="0"/>
          <w:numId w:val="30"/>
        </w:numPr>
        <w:pBdr>
          <w:top w:val="nil"/>
          <w:left w:val="nil"/>
          <w:bottom w:val="nil"/>
          <w:right w:val="nil"/>
          <w:between w:val="nil"/>
          <w:bar w:val="nil"/>
        </w:pBdr>
        <w:tabs>
          <w:tab w:val="num" w:pos="1209"/>
        </w:tabs>
        <w:ind w:hanging="360"/>
        <w:contextualSpacing w:val="0"/>
      </w:pPr>
      <w:r w:rsidRPr="00D434C0">
        <w:rPr>
          <w:rFonts w:ascii="Georgia Bold"/>
          <w:lang w:val="en-US"/>
        </w:rPr>
        <w:t>Digital newspaper payments are taking off, but won</w:t>
      </w:r>
      <w:r w:rsidRPr="00D434C0">
        <w:rPr>
          <w:lang w:val="fr-FR"/>
        </w:rPr>
        <w:t>’</w:t>
      </w:r>
      <w:r w:rsidRPr="00D434C0">
        <w:rPr>
          <w:rFonts w:ascii="Georgia Bold"/>
        </w:rPr>
        <w:t>t prove transformational.</w:t>
      </w:r>
      <w:r w:rsidRPr="00D434C0">
        <w:rPr>
          <w:lang w:val="en-US"/>
        </w:rPr>
        <w:t xml:space="preserve"> Digital newspaper circulation revenue grew by 66.2% through 2013. But although individual publishers report improved fortunes, few are hailing a transformation. Digital circulation will make up just 8% of total circulation revenue globally by 2018.</w:t>
      </w:r>
    </w:p>
    <w:p w:rsidR="00D434C0" w:rsidRPr="00D434C0" w:rsidRDefault="004051F3" w:rsidP="00D434C0">
      <w:pPr>
        <w:pStyle w:val="Body"/>
        <w:numPr>
          <w:ilvl w:val="0"/>
          <w:numId w:val="32"/>
        </w:numPr>
        <w:tabs>
          <w:tab w:val="num" w:pos="720"/>
        </w:tabs>
        <w:ind w:left="720" w:hanging="360"/>
      </w:pPr>
      <w:r>
        <w:rPr>
          <w:rFonts w:ascii="Georgia Bold"/>
          <w:lang w:val="en-US"/>
        </w:rPr>
        <w:t>Rising digital consumer revenue may be driven by 24/7 access.</w:t>
      </w:r>
      <w:r>
        <w:rPr>
          <w:rFonts w:eastAsia="Arial Unicode MS" w:hAnsi="Arial Unicode MS" w:cs="Arial Unicode MS"/>
          <w:lang w:val="en-US"/>
        </w:rPr>
        <w:t xml:space="preserve"> Two of the best-performing consumer sub-segments use a model in which consumers pay for round-the-clock access: digital music streaming revenue will grow at a 13.4% CAGR, and electronic home video OTT/streaming will rise at a 28.1%</w:t>
      </w:r>
      <w:r>
        <w:rPr>
          <w:rFonts w:eastAsia="Arial Unicode MS" w:hAnsi="Arial Unicode MS" w:cs="Arial Unicode MS"/>
        </w:rPr>
        <w:t>.</w:t>
      </w:r>
      <w:r>
        <w:rPr>
          <w:rFonts w:eastAsia="Arial Unicode MS" w:hAnsi="Arial Unicode MS" w:cs="Arial Unicode MS"/>
          <w:lang w:val="en-US"/>
        </w:rPr>
        <w:t xml:space="preserve">These </w:t>
      </w:r>
      <w:r w:rsidR="00D434C0">
        <w:rPr>
          <w:rFonts w:eastAsia="Arial Unicode MS" w:hAnsi="Arial Unicode MS" w:cs="Arial Unicode MS"/>
          <w:lang w:val="en-US"/>
        </w:rPr>
        <w:t>growth</w:t>
      </w:r>
      <w:r>
        <w:rPr>
          <w:rFonts w:eastAsia="Arial Unicode MS" w:hAnsi="Arial Unicode MS" w:cs="Arial Unicode MS"/>
          <w:lang w:val="en-US"/>
        </w:rPr>
        <w:t xml:space="preserve"> rates will not only offset a slow-moving non-digital consumer market, but may also point the way forward for other segments.</w:t>
      </w:r>
    </w:p>
    <w:p w:rsidR="004051F3" w:rsidRDefault="004051F3" w:rsidP="00D434C0">
      <w:pPr>
        <w:pStyle w:val="Body"/>
        <w:numPr>
          <w:ilvl w:val="0"/>
          <w:numId w:val="32"/>
        </w:numPr>
        <w:tabs>
          <w:tab w:val="num" w:pos="720"/>
        </w:tabs>
        <w:ind w:left="720" w:hanging="360"/>
      </w:pPr>
      <w:r w:rsidRPr="00D434C0">
        <w:rPr>
          <w:rFonts w:ascii="Georgia Bold"/>
          <w:lang w:val="en-US"/>
        </w:rPr>
        <w:t>Global electronic home video revenue will exceed physical home video revenue in 2018.</w:t>
      </w:r>
      <w:r w:rsidRPr="00D434C0">
        <w:rPr>
          <w:lang w:val="en-US"/>
        </w:rPr>
        <w:t xml:space="preserve"> Globally, the total combined revenue from OTT/streaming services and broadcasters</w:t>
      </w:r>
      <w:r w:rsidRPr="00D434C0">
        <w:rPr>
          <w:rFonts w:ascii="Arial Unicode MS"/>
          <w:lang w:val="fr-FR"/>
        </w:rPr>
        <w:t>’</w:t>
      </w:r>
      <w:r w:rsidRPr="00D434C0">
        <w:rPr>
          <w:rFonts w:ascii="Arial Unicode MS"/>
          <w:lang w:val="fr-FR"/>
        </w:rPr>
        <w:t xml:space="preserve"> </w:t>
      </w:r>
      <w:r w:rsidRPr="00D434C0">
        <w:rPr>
          <w:lang w:val="en-US"/>
        </w:rPr>
        <w:t>video on demand services will grow at a CAGR of 19.9%. This will overtake physical home video revenue (the sale and rental of DVDs and Blu-ray discs) in 2018.</w:t>
      </w:r>
    </w:p>
    <w:p w:rsidR="004051F3" w:rsidRDefault="004051F3" w:rsidP="004051F3">
      <w:pPr>
        <w:pStyle w:val="Body"/>
        <w:numPr>
          <w:ilvl w:val="0"/>
          <w:numId w:val="34"/>
        </w:numPr>
        <w:ind w:left="720" w:hanging="360"/>
      </w:pPr>
      <w:r>
        <w:rPr>
          <w:rFonts w:ascii="Georgia Bold"/>
          <w:lang w:val="en-US"/>
        </w:rPr>
        <w:t>Digital recorded music revenue will surpass physical recorded revenue in 2014.</w:t>
      </w:r>
      <w:r>
        <w:rPr>
          <w:rFonts w:eastAsia="Arial Unicode MS" w:hAnsi="Arial Unicode MS" w:cs="Arial Unicode MS"/>
          <w:lang w:val="en-US"/>
        </w:rPr>
        <w:t xml:space="preserve"> Global total digital recorded music revenue of </w:t>
      </w:r>
      <w:r>
        <w:rPr>
          <w:rFonts w:eastAsia="Arial Unicode MS" w:hAnsi="Arial Unicode MS" w:cs="Arial Unicode MS"/>
        </w:rPr>
        <w:t xml:space="preserve">US$10.18bn </w:t>
      </w:r>
      <w:r>
        <w:rPr>
          <w:rFonts w:eastAsia="Arial Unicode MS" w:hAnsi="Arial Unicode MS" w:cs="Arial Unicode MS"/>
          <w:lang w:val="en-US"/>
        </w:rPr>
        <w:t xml:space="preserve">will exceed physical recorded music </w:t>
      </w:r>
      <w:r>
        <w:rPr>
          <w:rFonts w:eastAsia="Arial Unicode MS" w:hAnsi="Arial Unicode MS" w:cs="Arial Unicode MS"/>
          <w:lang w:val="fr-FR"/>
        </w:rPr>
        <w:t>revenues</w:t>
      </w:r>
      <w:r>
        <w:rPr>
          <w:rFonts w:eastAsia="Arial Unicode MS" w:hAnsi="Arial Unicode MS" w:cs="Arial Unicode MS"/>
          <w:lang w:val="en-US"/>
        </w:rPr>
        <w:t xml:space="preserve"> of US$10.17bn for the first time in 2014</w:t>
      </w:r>
      <w:r>
        <w:rPr>
          <w:rFonts w:eastAsia="Arial Unicode MS" w:hAnsi="Arial Unicode MS" w:cs="Arial Unicode MS"/>
        </w:rPr>
        <w:t xml:space="preserve">. </w:t>
      </w:r>
      <w:r>
        <w:rPr>
          <w:rFonts w:eastAsia="Arial Unicode MS" w:hAnsi="Arial Unicode MS" w:cs="Arial Unicode MS"/>
          <w:lang w:val="en-US"/>
        </w:rPr>
        <w:t xml:space="preserve"> Greater service appeal for consumers will improve sales and by 2018, the year-on-year decline in total recorded music revenue will be just -0.1%.</w:t>
      </w:r>
    </w:p>
    <w:p w:rsidR="004051F3" w:rsidRDefault="004051F3" w:rsidP="004051F3">
      <w:pPr>
        <w:pStyle w:val="Body"/>
        <w:numPr>
          <w:ilvl w:val="0"/>
          <w:numId w:val="35"/>
        </w:numPr>
        <w:ind w:left="720" w:hanging="360"/>
      </w:pPr>
      <w:r>
        <w:rPr>
          <w:rFonts w:ascii="Georgia Bold"/>
          <w:lang w:val="en-US"/>
        </w:rPr>
        <w:t xml:space="preserve">All-you-can-read subscription services are yet to take off but will be transformational. </w:t>
      </w:r>
      <w:r>
        <w:rPr>
          <w:rFonts w:eastAsia="Arial Unicode MS" w:hAnsi="Arial Unicode MS" w:cs="Arial Unicode MS"/>
          <w:lang w:val="en-US"/>
        </w:rPr>
        <w:t xml:space="preserve">While they are still to gain traction,  users of subscription services and </w:t>
      </w:r>
      <w:r>
        <w:rPr>
          <w:rFonts w:eastAsia="Arial Unicode MS" w:hAnsi="Arial Unicode MS" w:cs="Arial Unicode MS"/>
          <w:lang w:val="it-IT"/>
        </w:rPr>
        <w:t>aggregators</w:t>
      </w:r>
      <w:r>
        <w:rPr>
          <w:rFonts w:eastAsia="Arial Unicode MS" w:hAnsi="Arial Unicode MS" w:cs="Arial Unicode MS"/>
        </w:rPr>
        <w:t xml:space="preserve"> </w:t>
      </w:r>
      <w:r>
        <w:rPr>
          <w:rFonts w:eastAsia="Arial Unicode MS" w:hAnsi="Arial Unicode MS" w:cs="Arial Unicode MS"/>
          <w:lang w:val="en-US"/>
        </w:rPr>
        <w:t>will</w:t>
      </w:r>
      <w:r>
        <w:rPr>
          <w:rFonts w:eastAsia="Arial Unicode MS" w:hAnsi="Arial Unicode MS" w:cs="Arial Unicode MS"/>
          <w:lang w:val="nl-NL"/>
        </w:rPr>
        <w:t xml:space="preserve"> soon </w:t>
      </w:r>
      <w:r>
        <w:rPr>
          <w:rFonts w:eastAsia="Arial Unicode MS" w:hAnsi="Arial Unicode MS" w:cs="Arial Unicode MS"/>
          <w:lang w:val="en-US"/>
        </w:rPr>
        <w:t>reach critical mass. With growing magazine circulations will come rising circulation and advertising revenue.</w:t>
      </w:r>
    </w:p>
    <w:p w:rsidR="004051F3" w:rsidRDefault="004051F3" w:rsidP="004051F3">
      <w:pPr>
        <w:pStyle w:val="Body"/>
        <w:numPr>
          <w:ilvl w:val="0"/>
          <w:numId w:val="36"/>
        </w:numPr>
        <w:ind w:left="720" w:hanging="360"/>
      </w:pPr>
      <w:r>
        <w:rPr>
          <w:rFonts w:ascii="Georgia Bold"/>
          <w:lang w:val="en-US"/>
        </w:rPr>
        <w:t>Internet gaming is widening gaming participation and micro-transactions are helping to grow revenues.</w:t>
      </w:r>
      <w:r>
        <w:rPr>
          <w:rFonts w:eastAsia="Arial Unicode MS" w:hAnsi="Arial Unicode MS" w:cs="Arial Unicode MS"/>
          <w:lang w:val="en-US"/>
        </w:rPr>
        <w:t xml:space="preserve"> Internet gaming (including social gaming) has opened markets previously considered lost to piracy, with the business model enabling greater freedom and choice in how much gamers pay. China is the second-largest market for Internet gaming (US$4.2bn in 2013</w:t>
      </w:r>
      <w:r>
        <w:rPr>
          <w:rFonts w:eastAsia="Arial Unicode MS" w:hAnsi="Arial Unicode MS" w:cs="Arial Unicode MS"/>
        </w:rPr>
        <w:t>).In 2017, Russia</w:t>
      </w:r>
      <w:r>
        <w:rPr>
          <w:rFonts w:eastAsia="Arial Unicode MS" w:hAnsi="Arial Unicode MS" w:cs="Arial Unicode MS"/>
          <w:lang w:val="en-US"/>
        </w:rPr>
        <w:t xml:space="preserve">) will overtake Germany to become the seventh-largest market for Internet gaming. Micro-transactions will help grow total video games revenues to US$89.0bn (6.2% CAGR) in 2018 and total console games revenues to US$31.9bn (4.9% CAGR) in 2018. </w:t>
      </w:r>
    </w:p>
    <w:p w:rsidR="004051F3" w:rsidRDefault="004051F3" w:rsidP="004051F3">
      <w:pPr>
        <w:pStyle w:val="Body"/>
        <w:rPr>
          <w:rFonts w:ascii="Georgia Bold" w:eastAsia="Georgia Bold" w:hAnsi="Georgia Bold" w:cs="Georgia Bold"/>
        </w:rPr>
      </w:pPr>
    </w:p>
    <w:p w:rsidR="004051F3" w:rsidRDefault="004051F3" w:rsidP="004051F3">
      <w:pPr>
        <w:pStyle w:val="Body"/>
        <w:jc w:val="center"/>
        <w:rPr>
          <w:rFonts w:ascii="Georgia Bold" w:eastAsia="Georgia Bold" w:hAnsi="Georgia Bold" w:cs="Georgia Bold"/>
          <w:lang w:val="en-US"/>
        </w:rPr>
      </w:pPr>
      <w:r>
        <w:rPr>
          <w:rFonts w:hAnsi="Arial Unicode MS"/>
          <w:lang w:val="en-US"/>
        </w:rPr>
        <w:t>−</w:t>
      </w:r>
      <w:r>
        <w:rPr>
          <w:rFonts w:ascii="Georgia Bold"/>
          <w:lang w:val="en-US"/>
        </w:rPr>
        <w:t>ENDS</w:t>
      </w:r>
      <w:r>
        <w:rPr>
          <w:rFonts w:hAnsi="Arial Unicode MS"/>
          <w:lang w:val="en-US"/>
        </w:rPr>
        <w:t>−</w:t>
      </w:r>
    </w:p>
    <w:p w:rsidR="004051F3" w:rsidRDefault="004051F3" w:rsidP="00D434C0">
      <w:pPr>
        <w:pStyle w:val="NoSpacing"/>
        <w:rPr>
          <w:rFonts w:ascii="Cambria" w:eastAsia="Cambria" w:hAnsi="Cambria" w:cs="Cambria"/>
        </w:rPr>
      </w:pPr>
      <w:r>
        <w:rPr>
          <w:rFonts w:ascii="Georgia Bold"/>
          <w:lang w:val="en-US"/>
        </w:rPr>
        <w:t xml:space="preserve">Press access to </w:t>
      </w:r>
      <w:r>
        <w:rPr>
          <w:b/>
          <w:bCs/>
          <w:i/>
          <w:iCs/>
          <w:lang w:val="en-US"/>
        </w:rPr>
        <w:t xml:space="preserve">Outlook </w:t>
      </w:r>
      <w:r>
        <w:rPr>
          <w:rFonts w:ascii="Georgia Bold"/>
          <w:lang w:val="en-US"/>
        </w:rPr>
        <w:t>content online</w:t>
      </w:r>
      <w:r>
        <w:rPr>
          <w:rFonts w:ascii="Cambria" w:eastAsia="Cambria" w:hAnsi="Cambria" w:cs="Cambria"/>
        </w:rPr>
        <w:br/>
      </w:r>
      <w:r>
        <w:rPr>
          <w:lang w:val="en-US"/>
        </w:rPr>
        <w:t xml:space="preserve">To request press access to the online </w:t>
      </w:r>
      <w:r>
        <w:rPr>
          <w:i/>
          <w:iCs/>
          <w:lang w:val="en-US"/>
        </w:rPr>
        <w:t>Global entertainment and media outlook 2014-2018</w:t>
      </w:r>
      <w:r>
        <w:rPr>
          <w:lang w:val="en-US"/>
        </w:rPr>
        <w:t xml:space="preserve">, contact </w:t>
      </w:r>
      <w:r w:rsidR="00D434C0">
        <w:rPr>
          <w:lang w:val="en-US"/>
        </w:rPr>
        <w:t>Alayna Francis</w:t>
      </w:r>
      <w:r>
        <w:rPr>
          <w:lang w:val="en-US"/>
        </w:rPr>
        <w:t xml:space="preserve"> at </w:t>
      </w:r>
      <w:r w:rsidR="00D434C0">
        <w:rPr>
          <w:lang w:val="en-US"/>
        </w:rPr>
        <w:t>Alayna.francis@us</w:t>
      </w:r>
      <w:r>
        <w:rPr>
          <w:lang w:val="en-US"/>
        </w:rPr>
        <w:t xml:space="preserve">.pwc.com. This will allow you to illustrate this and other media stories both by extracting detail from the </w:t>
      </w:r>
      <w:r>
        <w:rPr>
          <w:i/>
          <w:iCs/>
          <w:lang w:val="en-US"/>
        </w:rPr>
        <w:t>Outlook</w:t>
      </w:r>
      <w:r>
        <w:rPr>
          <w:lang w:val="en-US"/>
        </w:rPr>
        <w:t xml:space="preserve"> dataset and analysis at a segment and country level, and by creating charts on-screen that can be exported for use with your stories.</w:t>
      </w:r>
      <w:r>
        <w:rPr>
          <w:rFonts w:ascii="Cambria" w:eastAsia="Cambria" w:hAnsi="Cambria" w:cs="Cambria"/>
        </w:rPr>
        <w:br/>
      </w:r>
      <w:r>
        <w:rPr>
          <w:rFonts w:ascii="Cambria" w:eastAsia="Cambria" w:hAnsi="Cambria" w:cs="Cambria"/>
        </w:rPr>
        <w:br/>
      </w:r>
      <w:r>
        <w:rPr>
          <w:rFonts w:ascii="Georgia Bold"/>
          <w:lang w:val="en-US"/>
        </w:rPr>
        <w:t xml:space="preserve">About the </w:t>
      </w:r>
      <w:r>
        <w:rPr>
          <w:b/>
          <w:bCs/>
          <w:i/>
          <w:iCs/>
          <w:lang w:val="en-US"/>
        </w:rPr>
        <w:t>Outlook</w:t>
      </w:r>
      <w:r>
        <w:rPr>
          <w:rFonts w:ascii="Georgia Bold" w:eastAsia="Georgia Bold" w:hAnsi="Georgia Bold" w:cs="Georgia Bold"/>
          <w:lang w:val="en-US"/>
        </w:rPr>
        <w:br/>
      </w:r>
      <w:r>
        <w:rPr>
          <w:lang w:val="en-US"/>
        </w:rPr>
        <w:t>PwC</w:t>
      </w:r>
      <w:r>
        <w:rPr>
          <w:rFonts w:hAnsi="Arial Unicode MS"/>
          <w:lang w:val="en-US"/>
        </w:rPr>
        <w:t>’</w:t>
      </w:r>
      <w:r>
        <w:rPr>
          <w:lang w:val="en-US"/>
        </w:rPr>
        <w:t>s 15</w:t>
      </w:r>
      <w:r>
        <w:rPr>
          <w:vertAlign w:val="superscript"/>
          <w:lang w:val="en-US"/>
        </w:rPr>
        <w:t>th</w:t>
      </w:r>
      <w:r>
        <w:rPr>
          <w:lang w:val="en-US"/>
        </w:rPr>
        <w:t xml:space="preserve"> annual update of the </w:t>
      </w:r>
      <w:r>
        <w:rPr>
          <w:i/>
          <w:iCs/>
          <w:lang w:val="en-US"/>
        </w:rPr>
        <w:t>Global entertainment and media outlook 2014-2018</w:t>
      </w:r>
      <w:r>
        <w:rPr>
          <w:lang w:val="en-US"/>
        </w:rPr>
        <w:t xml:space="preserve">, is a comprehensive online source of global analysis for consumer and advertising spend. With like-for-like, five-year historical and five-year forecast data and commentary across 13 industry segments in 54 </w:t>
      </w:r>
      <w:r>
        <w:rPr>
          <w:lang w:val="en-US"/>
        </w:rPr>
        <w:lastRenderedPageBreak/>
        <w:t xml:space="preserve">countries, the </w:t>
      </w:r>
      <w:r>
        <w:rPr>
          <w:i/>
          <w:iCs/>
          <w:lang w:val="nl-NL"/>
        </w:rPr>
        <w:t>Outlook</w:t>
      </w:r>
      <w:r>
        <w:rPr>
          <w:lang w:val="en-US"/>
        </w:rPr>
        <w:t xml:space="preserve"> makes it easy to compare and contrast consumer and advertising spend across segments and countries. Find out more at </w:t>
      </w:r>
      <w:hyperlink r:id="rId9" w:history="1">
        <w:r>
          <w:rPr>
            <w:rStyle w:val="Hyperlink0"/>
          </w:rPr>
          <w:t>www.pwc.com/outlook</w:t>
        </w:r>
      </w:hyperlink>
    </w:p>
    <w:p w:rsidR="004051F3" w:rsidRDefault="004051F3" w:rsidP="004051F3">
      <w:pPr>
        <w:pStyle w:val="Body"/>
        <w:spacing w:line="240" w:lineRule="auto"/>
        <w:rPr>
          <w:rFonts w:ascii="Georgia Bold" w:eastAsia="Georgia Bold" w:hAnsi="Georgia Bold" w:cs="Georgia Bold"/>
          <w:lang w:val="en-US"/>
        </w:rPr>
      </w:pPr>
    </w:p>
    <w:p w:rsidR="004051F3" w:rsidRDefault="004051F3" w:rsidP="004051F3">
      <w:pPr>
        <w:pStyle w:val="Body"/>
        <w:spacing w:line="240" w:lineRule="auto"/>
        <w:rPr>
          <w:rFonts w:ascii="Georgia Bold" w:eastAsia="Georgia Bold" w:hAnsi="Georgia Bold" w:cs="Georgia Bold"/>
          <w:lang w:val="en-US"/>
        </w:rPr>
      </w:pPr>
      <w:r>
        <w:rPr>
          <w:rFonts w:ascii="Georgia Bold"/>
          <w:lang w:val="en-US"/>
        </w:rPr>
        <w:t xml:space="preserve">Segments covered by the </w:t>
      </w:r>
      <w:r>
        <w:rPr>
          <w:b/>
          <w:bCs/>
          <w:i/>
          <w:iCs/>
          <w:lang w:val="en-US"/>
        </w:rPr>
        <w:t>Outlook</w:t>
      </w:r>
    </w:p>
    <w:p w:rsidR="004051F3" w:rsidRDefault="004051F3" w:rsidP="004051F3">
      <w:pPr>
        <w:pStyle w:val="Body"/>
        <w:spacing w:line="240" w:lineRule="auto"/>
      </w:pPr>
      <w:r>
        <w:rPr>
          <w:lang w:val="en-US"/>
        </w:rPr>
        <w:t>TV subscriptions and licence fees, TV advertising, Internet access, Radio, Out-of-home advertising,</w:t>
      </w:r>
      <w:r>
        <w:br/>
      </w:r>
      <w:r>
        <w:rPr>
          <w:lang w:val="en-US"/>
        </w:rPr>
        <w:t>Video games, Filmed entertainment, Newspaper publishing, Magazine publishing, Business-to-business, Internet advertising, Book publishing and Music.</w:t>
      </w:r>
    </w:p>
    <w:p w:rsidR="004051F3" w:rsidRDefault="004051F3" w:rsidP="004051F3">
      <w:pPr>
        <w:pStyle w:val="Body"/>
        <w:spacing w:line="240" w:lineRule="auto"/>
        <w:rPr>
          <w:lang w:val="en-US"/>
        </w:rPr>
      </w:pPr>
    </w:p>
    <w:p w:rsidR="004051F3" w:rsidRDefault="004051F3" w:rsidP="004051F3">
      <w:pPr>
        <w:pStyle w:val="Body"/>
        <w:spacing w:line="240" w:lineRule="auto"/>
        <w:rPr>
          <w:b/>
          <w:bCs/>
          <w:i/>
          <w:iCs/>
        </w:rPr>
      </w:pPr>
      <w:r>
        <w:rPr>
          <w:rFonts w:ascii="Georgia Bold"/>
          <w:lang w:val="en-US"/>
        </w:rPr>
        <w:t xml:space="preserve">About </w:t>
      </w:r>
      <w:r>
        <w:rPr>
          <w:b/>
          <w:bCs/>
          <w:i/>
          <w:iCs/>
          <w:lang w:val="en-US"/>
        </w:rPr>
        <w:t>Outlook insights</w:t>
      </w:r>
    </w:p>
    <w:p w:rsidR="004051F3" w:rsidRDefault="004051F3" w:rsidP="004051F3">
      <w:pPr>
        <w:pStyle w:val="Body"/>
        <w:spacing w:line="240" w:lineRule="auto"/>
      </w:pPr>
      <w:r>
        <w:rPr>
          <w:lang w:val="en-US"/>
        </w:rPr>
        <w:t xml:space="preserve">Much of the content in this press release is taken from </w:t>
      </w:r>
      <w:r>
        <w:rPr>
          <w:i/>
          <w:iCs/>
          <w:lang w:val="en-US"/>
        </w:rPr>
        <w:t xml:space="preserve">Outlook insights, </w:t>
      </w:r>
      <w:r>
        <w:rPr>
          <w:lang w:val="en-US"/>
        </w:rPr>
        <w:t xml:space="preserve">which is drawn from data in the </w:t>
      </w:r>
      <w:r>
        <w:rPr>
          <w:i/>
          <w:iCs/>
          <w:lang w:val="en-US"/>
        </w:rPr>
        <w:t>Global entertainment and media outlook 2014-2018</w:t>
      </w:r>
      <w:r>
        <w:rPr>
          <w:lang w:val="en-US"/>
        </w:rPr>
        <w:t>. PwC continually seeks to update the online</w:t>
      </w:r>
      <w:r>
        <w:rPr>
          <w:i/>
          <w:iCs/>
          <w:lang w:val="nl-NL"/>
        </w:rPr>
        <w:t xml:space="preserve"> Outlook </w:t>
      </w:r>
      <w:r>
        <w:rPr>
          <w:lang w:val="en-US"/>
        </w:rPr>
        <w:t>data, therefore please note that the data in</w:t>
      </w:r>
      <w:r>
        <w:rPr>
          <w:i/>
          <w:iCs/>
          <w:lang w:val="en-US"/>
        </w:rPr>
        <w:t xml:space="preserve"> Outlook insights, </w:t>
      </w:r>
      <w:r>
        <w:rPr>
          <w:lang w:val="en-US"/>
        </w:rPr>
        <w:t>and this press release,</w:t>
      </w:r>
      <w:r>
        <w:rPr>
          <w:i/>
          <w:iCs/>
        </w:rPr>
        <w:t xml:space="preserve"> </w:t>
      </w:r>
      <w:r>
        <w:rPr>
          <w:lang w:val="en-US"/>
        </w:rPr>
        <w:t xml:space="preserve">may not be aligned with the data found online. The online </w:t>
      </w:r>
      <w:r>
        <w:rPr>
          <w:i/>
          <w:iCs/>
          <w:lang w:val="en-US"/>
        </w:rPr>
        <w:t>Global entertainment and media outlook 2014-2018</w:t>
      </w:r>
      <w:r>
        <w:rPr>
          <w:lang w:val="en-US"/>
        </w:rPr>
        <w:t xml:space="preserve"> is the most up-to-date source of consumer and advertising spend data.</w:t>
      </w:r>
    </w:p>
    <w:p w:rsidR="004051F3" w:rsidRDefault="004051F3" w:rsidP="004051F3">
      <w:pPr>
        <w:pStyle w:val="Body"/>
        <w:spacing w:line="240" w:lineRule="auto"/>
        <w:rPr>
          <w:rFonts w:ascii="Georgia Bold" w:eastAsia="Georgia Bold" w:hAnsi="Georgia Bold" w:cs="Georgia Bold"/>
          <w:lang w:val="en-US"/>
        </w:rPr>
      </w:pPr>
    </w:p>
    <w:p w:rsidR="004051F3" w:rsidRDefault="004051F3" w:rsidP="004051F3">
      <w:pPr>
        <w:pStyle w:val="Body"/>
        <w:spacing w:line="240" w:lineRule="auto"/>
        <w:rPr>
          <w:rFonts w:ascii="Georgia Bold" w:eastAsia="Georgia Bold" w:hAnsi="Georgia Bold" w:cs="Georgia Bold"/>
          <w:lang w:val="en-US"/>
        </w:rPr>
      </w:pPr>
      <w:r>
        <w:rPr>
          <w:rFonts w:ascii="Georgia Bold"/>
          <w:lang w:val="en-US"/>
        </w:rPr>
        <w:t>Digital spending</w:t>
      </w:r>
    </w:p>
    <w:p w:rsidR="004051F3" w:rsidRDefault="004051F3" w:rsidP="004051F3">
      <w:pPr>
        <w:pStyle w:val="Body"/>
        <w:rPr>
          <w:rFonts w:eastAsia="Arial Unicode MS" w:hAnsi="Arial Unicode MS" w:cs="Arial Unicode MS"/>
          <w:lang w:val="en-US"/>
        </w:rPr>
      </w:pPr>
      <w:r>
        <w:rPr>
          <w:rFonts w:eastAsia="Arial Unicode MS" w:hAnsi="Arial Unicode MS" w:cs="Arial Unicode MS"/>
          <w:lang w:val="en-US"/>
        </w:rPr>
        <w:t>Digital revenue consists of fixed broadband and mobile Internet access; satellite radio subscriptions; digital PC and console gaming; online and mobile gaming; electronic home video; digital newspaper circulation revenue; digital consumer magazine circulation revenue; digital trade magazine circulation revenue; consumer, educational and professional e-books; online and mobile Internet advertising; digital out-of-home advertising revenue and digital recorded music revenue.</w:t>
      </w:r>
    </w:p>
    <w:p w:rsidR="004051F3" w:rsidRDefault="004051F3" w:rsidP="004051F3">
      <w:pPr>
        <w:pStyle w:val="Body"/>
        <w:rPr>
          <w:lang w:val="en-US"/>
        </w:rPr>
      </w:pPr>
    </w:p>
    <w:p w:rsidR="002A2656" w:rsidRPr="00B66346" w:rsidRDefault="004051F3" w:rsidP="000A22B7">
      <w:pPr>
        <w:pStyle w:val="ListParagraph"/>
        <w:spacing w:line="240" w:lineRule="auto"/>
        <w:ind w:left="0"/>
        <w:rPr>
          <w:b/>
          <w:szCs w:val="20"/>
        </w:rPr>
      </w:pPr>
      <w:r>
        <w:rPr>
          <w:b/>
          <w:szCs w:val="20"/>
        </w:rPr>
        <w:t>N</w:t>
      </w:r>
      <w:r w:rsidR="00F157C3" w:rsidRPr="00B66346">
        <w:rPr>
          <w:b/>
          <w:szCs w:val="20"/>
        </w:rPr>
        <w:t>otes to editors:</w:t>
      </w:r>
    </w:p>
    <w:p w:rsidR="00F157C3" w:rsidRPr="00B66346" w:rsidRDefault="00F157C3" w:rsidP="000A22B7">
      <w:pPr>
        <w:pStyle w:val="ListParagraph"/>
        <w:spacing w:line="240" w:lineRule="auto"/>
        <w:ind w:left="0"/>
        <w:rPr>
          <w:b/>
          <w:szCs w:val="20"/>
        </w:rPr>
      </w:pP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helps organisations and individuals create the value they’re looking for. We’re a network of firms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in 157 countries with more than 184,000 people who are committed to delivering quality in assurance,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tax and advisory services. Tell us what matters to you and find out more by visiting us at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www.pwc.com.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refers to the PwC network and/or one or more of its member firms, each of which is a separate </w:t>
      </w:r>
    </w:p>
    <w:p w:rsid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legal entity. Please see www.pwc.com/structure for further details.  </w:t>
      </w:r>
    </w:p>
    <w:p w:rsidR="00AE1A0E" w:rsidRDefault="00AE1A0E"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D81336" w:rsidRDefault="001D68F1">
      <w:pPr>
        <w:rPr>
          <w:rFonts w:cs="Arial"/>
          <w:bCs/>
          <w:szCs w:val="24"/>
        </w:rPr>
      </w:pPr>
      <w:r>
        <w:rPr>
          <w:rFonts w:cs="Helv"/>
          <w:bCs/>
          <w:color w:val="000000"/>
          <w:szCs w:val="20"/>
          <w:lang w:val="en-US"/>
        </w:rPr>
        <w:t>©</w:t>
      </w:r>
      <w:r w:rsidRPr="00697732">
        <w:rPr>
          <w:rFonts w:cs="Helv"/>
          <w:bCs/>
          <w:color w:val="000000"/>
          <w:szCs w:val="20"/>
          <w:lang w:val="en-US"/>
        </w:rPr>
        <w:t>201</w:t>
      </w:r>
      <w:r>
        <w:rPr>
          <w:rFonts w:cs="Helv"/>
          <w:bCs/>
          <w:color w:val="000000"/>
          <w:szCs w:val="20"/>
          <w:lang w:val="en-US"/>
        </w:rPr>
        <w:t>4</w:t>
      </w:r>
      <w:r w:rsidRPr="00697732">
        <w:rPr>
          <w:rFonts w:cs="Helv"/>
          <w:bCs/>
          <w:color w:val="000000"/>
          <w:szCs w:val="20"/>
          <w:lang w:val="en-US"/>
        </w:rPr>
        <w:t xml:space="preserve"> </w:t>
      </w:r>
      <w:r w:rsidR="00697732" w:rsidRPr="00697732">
        <w:rPr>
          <w:rFonts w:cs="Helv"/>
          <w:bCs/>
          <w:color w:val="000000"/>
          <w:szCs w:val="20"/>
          <w:lang w:val="en-US"/>
        </w:rPr>
        <w:t>PricewaterhouseCoopers. All rights reserved.</w:t>
      </w:r>
    </w:p>
    <w:sectPr w:rsidR="00D81336"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BB" w:rsidRDefault="001664BB">
      <w:pPr>
        <w:spacing w:line="240" w:lineRule="auto"/>
      </w:pPr>
      <w:r>
        <w:separator/>
      </w:r>
    </w:p>
  </w:endnote>
  <w:endnote w:type="continuationSeparator" w:id="0">
    <w:p w:rsidR="001664BB" w:rsidRDefault="00166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Charter Com">
    <w:altName w:val="Calibri"/>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227963">
      <w:rPr>
        <w:noProof/>
      </w:rPr>
      <w:t>4</w:t>
    </w:r>
    <w:r>
      <w:rPr>
        <w:noProof/>
      </w:rPr>
      <w:fldChar w:fldCharType="end"/>
    </w:r>
    <w:r w:rsidR="00A77FF6">
      <w:t xml:space="preserve"> of </w:t>
    </w:r>
    <w:r w:rsidR="001664BB">
      <w:fldChar w:fldCharType="begin"/>
    </w:r>
    <w:r w:rsidR="001664BB">
      <w:instrText xml:space="preserve"> NUMPAGES  \* MERGEFORMAT </w:instrText>
    </w:r>
    <w:r w:rsidR="001664BB">
      <w:fldChar w:fldCharType="separate"/>
    </w:r>
    <w:r w:rsidR="00227963">
      <w:rPr>
        <w:noProof/>
      </w:rPr>
      <w:t>4</w:t>
    </w:r>
    <w:r w:rsidR="001664B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227963">
      <w:rPr>
        <w:noProof/>
      </w:rPr>
      <w:t>3</w:t>
    </w:r>
    <w:r>
      <w:rPr>
        <w:noProof/>
      </w:rPr>
      <w:fldChar w:fldCharType="end"/>
    </w:r>
    <w:r w:rsidR="00A77FF6">
      <w:t xml:space="preserve"> of </w:t>
    </w:r>
    <w:r w:rsidR="001664BB">
      <w:fldChar w:fldCharType="begin"/>
    </w:r>
    <w:r w:rsidR="001664BB">
      <w:instrText xml:space="preserve"> NUMPAGES  \* MERGEFORMAT </w:instrText>
    </w:r>
    <w:r w:rsidR="001664BB">
      <w:fldChar w:fldCharType="separate"/>
    </w:r>
    <w:r w:rsidR="00227963">
      <w:rPr>
        <w:noProof/>
      </w:rPr>
      <w:t>4</w:t>
    </w:r>
    <w:r w:rsidR="001664B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BB" w:rsidRDefault="001664BB">
      <w:pPr>
        <w:spacing w:line="240" w:lineRule="auto"/>
      </w:pPr>
      <w:r>
        <w:separator/>
      </w:r>
    </w:p>
  </w:footnote>
  <w:footnote w:type="continuationSeparator" w:id="0">
    <w:p w:rsidR="001664BB" w:rsidRDefault="001664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4D314A4"/>
    <w:multiLevelType w:val="hybridMultilevel"/>
    <w:tmpl w:val="BFD4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23B2A"/>
    <w:multiLevelType w:val="multilevel"/>
    <w:tmpl w:val="00D8B540"/>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12">
    <w:nsid w:val="1BC03E7F"/>
    <w:multiLevelType w:val="multilevel"/>
    <w:tmpl w:val="C24C58CE"/>
    <w:lvl w:ilvl="0">
      <w:numFmt w:val="bullet"/>
      <w:lvlText w:val="•"/>
      <w:lvlJc w:val="left"/>
      <w:rPr>
        <w:rFonts w:ascii="Georgia Bold" w:eastAsia="Georgia Bold" w:hAnsi="Georgia Bold" w:cs="Georgia Bold"/>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13">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nsid w:val="20407445"/>
    <w:multiLevelType w:val="multilevel"/>
    <w:tmpl w:val="92D68596"/>
    <w:lvl w:ilvl="0">
      <w:numFmt w:val="bullet"/>
      <w:lvlText w:val="•"/>
      <w:lvlJc w:val="left"/>
      <w:rPr>
        <w:rFonts w:ascii="Georgia Bold" w:eastAsia="Georgia Bold" w:hAnsi="Georgia Bold" w:cs="Georgia Bold"/>
        <w:b w:val="0"/>
        <w:bCs w:val="0"/>
        <w:position w:val="0"/>
      </w:rPr>
    </w:lvl>
    <w:lvl w:ilvl="1">
      <w:start w:val="1"/>
      <w:numFmt w:val="bullet"/>
      <w:lvlText w:val="o"/>
      <w:lvlJc w:val="left"/>
      <w:rPr>
        <w:rFonts w:ascii="Georgia Bold" w:eastAsia="Georgia Bold" w:hAnsi="Georgia Bold" w:cs="Georgia Bold"/>
        <w:b w:val="0"/>
        <w:bCs w:val="0"/>
        <w:position w:val="0"/>
      </w:rPr>
    </w:lvl>
    <w:lvl w:ilvl="2">
      <w:start w:val="1"/>
      <w:numFmt w:val="bullet"/>
      <w:lvlText w:val="▪"/>
      <w:lvlJc w:val="left"/>
      <w:rPr>
        <w:rFonts w:ascii="Georgia Bold" w:eastAsia="Georgia Bold" w:hAnsi="Georgia Bold" w:cs="Georgia Bold"/>
        <w:b w:val="0"/>
        <w:bCs w:val="0"/>
        <w:position w:val="0"/>
      </w:rPr>
    </w:lvl>
    <w:lvl w:ilvl="3">
      <w:start w:val="1"/>
      <w:numFmt w:val="bullet"/>
      <w:lvlText w:val="•"/>
      <w:lvlJc w:val="left"/>
      <w:rPr>
        <w:rFonts w:ascii="Georgia Bold" w:eastAsia="Georgia Bold" w:hAnsi="Georgia Bold" w:cs="Georgia Bold"/>
        <w:b w:val="0"/>
        <w:bCs w:val="0"/>
        <w:position w:val="0"/>
      </w:rPr>
    </w:lvl>
    <w:lvl w:ilvl="4">
      <w:start w:val="1"/>
      <w:numFmt w:val="bullet"/>
      <w:lvlText w:val="o"/>
      <w:lvlJc w:val="left"/>
      <w:rPr>
        <w:rFonts w:ascii="Georgia Bold" w:eastAsia="Georgia Bold" w:hAnsi="Georgia Bold" w:cs="Georgia Bold"/>
        <w:b w:val="0"/>
        <w:bCs w:val="0"/>
        <w:position w:val="0"/>
      </w:rPr>
    </w:lvl>
    <w:lvl w:ilvl="5">
      <w:start w:val="1"/>
      <w:numFmt w:val="bullet"/>
      <w:lvlText w:val="▪"/>
      <w:lvlJc w:val="left"/>
      <w:rPr>
        <w:rFonts w:ascii="Georgia Bold" w:eastAsia="Georgia Bold" w:hAnsi="Georgia Bold" w:cs="Georgia Bold"/>
        <w:b w:val="0"/>
        <w:bCs w:val="0"/>
        <w:position w:val="0"/>
      </w:rPr>
    </w:lvl>
    <w:lvl w:ilvl="6">
      <w:start w:val="1"/>
      <w:numFmt w:val="bullet"/>
      <w:lvlText w:val="•"/>
      <w:lvlJc w:val="left"/>
      <w:rPr>
        <w:rFonts w:ascii="Georgia Bold" w:eastAsia="Georgia Bold" w:hAnsi="Georgia Bold" w:cs="Georgia Bold"/>
        <w:b w:val="0"/>
        <w:bCs w:val="0"/>
        <w:position w:val="0"/>
      </w:rPr>
    </w:lvl>
    <w:lvl w:ilvl="7">
      <w:start w:val="1"/>
      <w:numFmt w:val="bullet"/>
      <w:lvlText w:val="o"/>
      <w:lvlJc w:val="left"/>
      <w:rPr>
        <w:rFonts w:ascii="Georgia Bold" w:eastAsia="Georgia Bold" w:hAnsi="Georgia Bold" w:cs="Georgia Bold"/>
        <w:b w:val="0"/>
        <w:bCs w:val="0"/>
        <w:position w:val="0"/>
      </w:rPr>
    </w:lvl>
    <w:lvl w:ilvl="8">
      <w:start w:val="1"/>
      <w:numFmt w:val="bullet"/>
      <w:lvlText w:val="▪"/>
      <w:lvlJc w:val="left"/>
      <w:rPr>
        <w:rFonts w:ascii="Georgia Bold" w:eastAsia="Georgia Bold" w:hAnsi="Georgia Bold" w:cs="Georgia Bold"/>
        <w:b w:val="0"/>
        <w:bCs w:val="0"/>
        <w:position w:val="0"/>
      </w:rPr>
    </w:lvl>
  </w:abstractNum>
  <w:abstractNum w:abstractNumId="16">
    <w:nsid w:val="2A8A31EA"/>
    <w:multiLevelType w:val="multilevel"/>
    <w:tmpl w:val="41083394"/>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17">
    <w:nsid w:val="2DA60846"/>
    <w:multiLevelType w:val="multilevel"/>
    <w:tmpl w:val="0EA420FE"/>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18">
    <w:nsid w:val="2FB02CE5"/>
    <w:multiLevelType w:val="multilevel"/>
    <w:tmpl w:val="1520C89A"/>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19">
    <w:nsid w:val="39BE7851"/>
    <w:multiLevelType w:val="hybridMultilevel"/>
    <w:tmpl w:val="757C73CC"/>
    <w:lvl w:ilvl="0" w:tplc="D7D0D39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14905"/>
    <w:multiLevelType w:val="hybridMultilevel"/>
    <w:tmpl w:val="1AC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E5343"/>
    <w:multiLevelType w:val="hybridMultilevel"/>
    <w:tmpl w:val="F7BA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B2F3D"/>
    <w:multiLevelType w:val="hybridMultilevel"/>
    <w:tmpl w:val="9AC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A51842"/>
    <w:multiLevelType w:val="multilevel"/>
    <w:tmpl w:val="ABF676C4"/>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24">
    <w:nsid w:val="507F6205"/>
    <w:multiLevelType w:val="hybridMultilevel"/>
    <w:tmpl w:val="4A3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04904"/>
    <w:multiLevelType w:val="multilevel"/>
    <w:tmpl w:val="BD86545A"/>
    <w:styleLink w:val="List1"/>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26">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7">
    <w:nsid w:val="636B554C"/>
    <w:multiLevelType w:val="multilevel"/>
    <w:tmpl w:val="0802B3FC"/>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28">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F307BB"/>
    <w:multiLevelType w:val="hybridMultilevel"/>
    <w:tmpl w:val="989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94EC7"/>
    <w:multiLevelType w:val="multilevel"/>
    <w:tmpl w:val="CC94CFCE"/>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31">
    <w:nsid w:val="74EE2BD3"/>
    <w:multiLevelType w:val="multilevel"/>
    <w:tmpl w:val="DA0C9A44"/>
    <w:styleLink w:val="List0"/>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abstractNum w:abstractNumId="32">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77804B67"/>
    <w:multiLevelType w:val="hybridMultilevel"/>
    <w:tmpl w:val="FEA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A5E70"/>
    <w:multiLevelType w:val="hybridMultilevel"/>
    <w:tmpl w:val="65F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94B16"/>
    <w:multiLevelType w:val="multilevel"/>
    <w:tmpl w:val="80023CA4"/>
    <w:lvl w:ilvl="0">
      <w:numFmt w:val="bullet"/>
      <w:lvlText w:val="•"/>
      <w:lvlJc w:val="left"/>
      <w:rPr>
        <w:rFonts w:ascii="Georgia" w:eastAsia="Georgia" w:hAnsi="Georgia" w:cs="Georgia"/>
        <w:b w:val="0"/>
        <w:bCs w:val="0"/>
        <w:position w:val="0"/>
        <w:rtl w:val="0"/>
      </w:rPr>
    </w:lvl>
    <w:lvl w:ilvl="1">
      <w:start w:val="1"/>
      <w:numFmt w:val="bullet"/>
      <w:lvlText w:val="o"/>
      <w:lvlJc w:val="left"/>
      <w:rPr>
        <w:rFonts w:ascii="Georgia Bold" w:eastAsia="Georgia Bold" w:hAnsi="Georgia Bold" w:cs="Georgia Bold"/>
        <w:b w:val="0"/>
        <w:bCs w:val="0"/>
        <w:position w:val="0"/>
        <w:rtl w:val="0"/>
      </w:rPr>
    </w:lvl>
    <w:lvl w:ilvl="2">
      <w:start w:val="1"/>
      <w:numFmt w:val="bullet"/>
      <w:lvlText w:val="▪"/>
      <w:lvlJc w:val="left"/>
      <w:rPr>
        <w:rFonts w:ascii="Georgia Bold" w:eastAsia="Georgia Bold" w:hAnsi="Georgia Bold" w:cs="Georgia Bold"/>
        <w:b w:val="0"/>
        <w:bCs w:val="0"/>
        <w:position w:val="0"/>
        <w:rtl w:val="0"/>
      </w:rPr>
    </w:lvl>
    <w:lvl w:ilvl="3">
      <w:start w:val="1"/>
      <w:numFmt w:val="bullet"/>
      <w:lvlText w:val="•"/>
      <w:lvlJc w:val="left"/>
      <w:rPr>
        <w:rFonts w:ascii="Georgia Bold" w:eastAsia="Georgia Bold" w:hAnsi="Georgia Bold" w:cs="Georgia Bold"/>
        <w:b w:val="0"/>
        <w:bCs w:val="0"/>
        <w:position w:val="0"/>
        <w:rtl w:val="0"/>
      </w:rPr>
    </w:lvl>
    <w:lvl w:ilvl="4">
      <w:start w:val="1"/>
      <w:numFmt w:val="bullet"/>
      <w:lvlText w:val="o"/>
      <w:lvlJc w:val="left"/>
      <w:rPr>
        <w:rFonts w:ascii="Georgia Bold" w:eastAsia="Georgia Bold" w:hAnsi="Georgia Bold" w:cs="Georgia Bold"/>
        <w:b w:val="0"/>
        <w:bCs w:val="0"/>
        <w:position w:val="0"/>
        <w:rtl w:val="0"/>
      </w:rPr>
    </w:lvl>
    <w:lvl w:ilvl="5">
      <w:start w:val="1"/>
      <w:numFmt w:val="bullet"/>
      <w:lvlText w:val="▪"/>
      <w:lvlJc w:val="left"/>
      <w:rPr>
        <w:rFonts w:ascii="Georgia Bold" w:eastAsia="Georgia Bold" w:hAnsi="Georgia Bold" w:cs="Georgia Bold"/>
        <w:b w:val="0"/>
        <w:bCs w:val="0"/>
        <w:position w:val="0"/>
        <w:rtl w:val="0"/>
      </w:rPr>
    </w:lvl>
    <w:lvl w:ilvl="6">
      <w:start w:val="1"/>
      <w:numFmt w:val="bullet"/>
      <w:lvlText w:val="•"/>
      <w:lvlJc w:val="left"/>
      <w:rPr>
        <w:rFonts w:ascii="Georgia Bold" w:eastAsia="Georgia Bold" w:hAnsi="Georgia Bold" w:cs="Georgia Bold"/>
        <w:b w:val="0"/>
        <w:bCs w:val="0"/>
        <w:position w:val="0"/>
        <w:rtl w:val="0"/>
      </w:rPr>
    </w:lvl>
    <w:lvl w:ilvl="7">
      <w:start w:val="1"/>
      <w:numFmt w:val="bullet"/>
      <w:lvlText w:val="o"/>
      <w:lvlJc w:val="left"/>
      <w:rPr>
        <w:rFonts w:ascii="Georgia Bold" w:eastAsia="Georgia Bold" w:hAnsi="Georgia Bold" w:cs="Georgia Bold"/>
        <w:b w:val="0"/>
        <w:bCs w:val="0"/>
        <w:position w:val="0"/>
        <w:rtl w:val="0"/>
      </w:rPr>
    </w:lvl>
    <w:lvl w:ilvl="8">
      <w:start w:val="1"/>
      <w:numFmt w:val="bullet"/>
      <w:lvlText w:val="▪"/>
      <w:lvlJc w:val="left"/>
      <w:rPr>
        <w:rFonts w:ascii="Georgia Bold" w:eastAsia="Georgia Bold" w:hAnsi="Georgia Bold" w:cs="Georgia Bold"/>
        <w:b w:val="0"/>
        <w:bCs w:val="0"/>
        <w:position w:val="0"/>
        <w:rtl w:val="0"/>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6"/>
  </w:num>
  <w:num w:numId="14">
    <w:abstractNumId w:val="13"/>
  </w:num>
  <w:num w:numId="15">
    <w:abstractNumId w:val="28"/>
  </w:num>
  <w:num w:numId="16">
    <w:abstractNumId w:val="19"/>
  </w:num>
  <w:num w:numId="17">
    <w:abstractNumId w:val="20"/>
  </w:num>
  <w:num w:numId="18">
    <w:abstractNumId w:val="22"/>
  </w:num>
  <w:num w:numId="19">
    <w:abstractNumId w:val="34"/>
  </w:num>
  <w:num w:numId="20">
    <w:abstractNumId w:val="24"/>
  </w:num>
  <w:num w:numId="21">
    <w:abstractNumId w:val="33"/>
  </w:num>
  <w:num w:numId="22">
    <w:abstractNumId w:val="21"/>
  </w:num>
  <w:num w:numId="23">
    <w:abstractNumId w:val="29"/>
  </w:num>
  <w:num w:numId="24">
    <w:abstractNumId w:val="10"/>
  </w:num>
  <w:num w:numId="25">
    <w:abstractNumId w:val="27"/>
  </w:num>
  <w:num w:numId="26">
    <w:abstractNumId w:val="17"/>
  </w:num>
  <w:num w:numId="27">
    <w:abstractNumId w:val="35"/>
  </w:num>
  <w:num w:numId="28">
    <w:abstractNumId w:val="31"/>
  </w:num>
  <w:num w:numId="29">
    <w:abstractNumId w:val="15"/>
  </w:num>
  <w:num w:numId="30">
    <w:abstractNumId w:val="12"/>
  </w:num>
  <w:num w:numId="31">
    <w:abstractNumId w:val="18"/>
  </w:num>
  <w:num w:numId="32">
    <w:abstractNumId w:val="16"/>
  </w:num>
  <w:num w:numId="33">
    <w:abstractNumId w:val="11"/>
  </w:num>
  <w:num w:numId="34">
    <w:abstractNumId w:val="30"/>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1786F"/>
    <w:rsid w:val="0002582B"/>
    <w:rsid w:val="00026A7D"/>
    <w:rsid w:val="0005672B"/>
    <w:rsid w:val="00072970"/>
    <w:rsid w:val="00074030"/>
    <w:rsid w:val="00083CDF"/>
    <w:rsid w:val="0008555A"/>
    <w:rsid w:val="00086558"/>
    <w:rsid w:val="00086EFB"/>
    <w:rsid w:val="00094206"/>
    <w:rsid w:val="000A22B7"/>
    <w:rsid w:val="000A3040"/>
    <w:rsid w:val="000A42D6"/>
    <w:rsid w:val="000B379D"/>
    <w:rsid w:val="000B7CF5"/>
    <w:rsid w:val="000C1EA7"/>
    <w:rsid w:val="000D6AFB"/>
    <w:rsid w:val="000E0F12"/>
    <w:rsid w:val="000E3C6C"/>
    <w:rsid w:val="00100E12"/>
    <w:rsid w:val="00101F7B"/>
    <w:rsid w:val="0010362A"/>
    <w:rsid w:val="0011521E"/>
    <w:rsid w:val="00131ADF"/>
    <w:rsid w:val="001379A5"/>
    <w:rsid w:val="0014007F"/>
    <w:rsid w:val="001424EE"/>
    <w:rsid w:val="001521D6"/>
    <w:rsid w:val="00156F22"/>
    <w:rsid w:val="001571CD"/>
    <w:rsid w:val="001664BB"/>
    <w:rsid w:val="001830B9"/>
    <w:rsid w:val="00187BA5"/>
    <w:rsid w:val="00191576"/>
    <w:rsid w:val="00197BD0"/>
    <w:rsid w:val="001A5D4B"/>
    <w:rsid w:val="001C09BD"/>
    <w:rsid w:val="001C0E2E"/>
    <w:rsid w:val="001C3CD0"/>
    <w:rsid w:val="001D0E4F"/>
    <w:rsid w:val="001D149F"/>
    <w:rsid w:val="001D1F7F"/>
    <w:rsid w:val="001D68F1"/>
    <w:rsid w:val="001E1A05"/>
    <w:rsid w:val="001E7D34"/>
    <w:rsid w:val="00212468"/>
    <w:rsid w:val="002217FF"/>
    <w:rsid w:val="002232E7"/>
    <w:rsid w:val="002272CA"/>
    <w:rsid w:val="00227441"/>
    <w:rsid w:val="00227963"/>
    <w:rsid w:val="002414A6"/>
    <w:rsid w:val="002528B4"/>
    <w:rsid w:val="0029603A"/>
    <w:rsid w:val="002967F8"/>
    <w:rsid w:val="00297D87"/>
    <w:rsid w:val="002A2656"/>
    <w:rsid w:val="002B53CD"/>
    <w:rsid w:val="002C11AC"/>
    <w:rsid w:val="002C4F4A"/>
    <w:rsid w:val="002D65E8"/>
    <w:rsid w:val="002E22AF"/>
    <w:rsid w:val="002E2514"/>
    <w:rsid w:val="002E65D8"/>
    <w:rsid w:val="002E6E5A"/>
    <w:rsid w:val="002F102C"/>
    <w:rsid w:val="003017F6"/>
    <w:rsid w:val="00310C86"/>
    <w:rsid w:val="00317C6B"/>
    <w:rsid w:val="003211A5"/>
    <w:rsid w:val="0033361A"/>
    <w:rsid w:val="003347D3"/>
    <w:rsid w:val="00334E98"/>
    <w:rsid w:val="0034086F"/>
    <w:rsid w:val="0034474E"/>
    <w:rsid w:val="003469E6"/>
    <w:rsid w:val="003606A0"/>
    <w:rsid w:val="00372071"/>
    <w:rsid w:val="00375469"/>
    <w:rsid w:val="003823F8"/>
    <w:rsid w:val="00397D3B"/>
    <w:rsid w:val="003A751D"/>
    <w:rsid w:val="003A7ACE"/>
    <w:rsid w:val="003C0CF1"/>
    <w:rsid w:val="003D3330"/>
    <w:rsid w:val="004051F3"/>
    <w:rsid w:val="00413EA2"/>
    <w:rsid w:val="00444D43"/>
    <w:rsid w:val="0047190F"/>
    <w:rsid w:val="004743B8"/>
    <w:rsid w:val="0049352F"/>
    <w:rsid w:val="00496D46"/>
    <w:rsid w:val="004A58F5"/>
    <w:rsid w:val="004A62AE"/>
    <w:rsid w:val="004D35E6"/>
    <w:rsid w:val="004D704C"/>
    <w:rsid w:val="004F0E03"/>
    <w:rsid w:val="004F1F4A"/>
    <w:rsid w:val="004F5972"/>
    <w:rsid w:val="00510B45"/>
    <w:rsid w:val="00512D9C"/>
    <w:rsid w:val="00513491"/>
    <w:rsid w:val="0051449F"/>
    <w:rsid w:val="00515A34"/>
    <w:rsid w:val="00516927"/>
    <w:rsid w:val="00517847"/>
    <w:rsid w:val="00521E62"/>
    <w:rsid w:val="00523A14"/>
    <w:rsid w:val="00527497"/>
    <w:rsid w:val="00535BF5"/>
    <w:rsid w:val="00542833"/>
    <w:rsid w:val="005467D4"/>
    <w:rsid w:val="005558FC"/>
    <w:rsid w:val="005669D4"/>
    <w:rsid w:val="00570333"/>
    <w:rsid w:val="00570F6F"/>
    <w:rsid w:val="005A08E6"/>
    <w:rsid w:val="005A37E6"/>
    <w:rsid w:val="005A5582"/>
    <w:rsid w:val="005C2585"/>
    <w:rsid w:val="005C51C6"/>
    <w:rsid w:val="005D3729"/>
    <w:rsid w:val="005D5978"/>
    <w:rsid w:val="005E2310"/>
    <w:rsid w:val="005E75E2"/>
    <w:rsid w:val="00613ABE"/>
    <w:rsid w:val="006245D7"/>
    <w:rsid w:val="00630E6A"/>
    <w:rsid w:val="00633302"/>
    <w:rsid w:val="006420D1"/>
    <w:rsid w:val="00642537"/>
    <w:rsid w:val="00644041"/>
    <w:rsid w:val="006511C8"/>
    <w:rsid w:val="00653F01"/>
    <w:rsid w:val="00657B91"/>
    <w:rsid w:val="00667B77"/>
    <w:rsid w:val="006850BE"/>
    <w:rsid w:val="00697732"/>
    <w:rsid w:val="006A1137"/>
    <w:rsid w:val="006B1E3B"/>
    <w:rsid w:val="006B288B"/>
    <w:rsid w:val="006C1700"/>
    <w:rsid w:val="006C6414"/>
    <w:rsid w:val="006D05C5"/>
    <w:rsid w:val="006D154A"/>
    <w:rsid w:val="006D3A7E"/>
    <w:rsid w:val="006E0E47"/>
    <w:rsid w:val="006E3150"/>
    <w:rsid w:val="006E5A24"/>
    <w:rsid w:val="006E77FE"/>
    <w:rsid w:val="006F5B7A"/>
    <w:rsid w:val="007079CE"/>
    <w:rsid w:val="00723DB5"/>
    <w:rsid w:val="007408AE"/>
    <w:rsid w:val="00744C98"/>
    <w:rsid w:val="00753CEA"/>
    <w:rsid w:val="0075565E"/>
    <w:rsid w:val="007661F2"/>
    <w:rsid w:val="00780E1B"/>
    <w:rsid w:val="007974CB"/>
    <w:rsid w:val="007B4A07"/>
    <w:rsid w:val="007C0FBC"/>
    <w:rsid w:val="007D7635"/>
    <w:rsid w:val="007E38F1"/>
    <w:rsid w:val="007E7A81"/>
    <w:rsid w:val="007F2A33"/>
    <w:rsid w:val="008023B8"/>
    <w:rsid w:val="00806AE3"/>
    <w:rsid w:val="00812690"/>
    <w:rsid w:val="008161CB"/>
    <w:rsid w:val="00825DA4"/>
    <w:rsid w:val="0085146E"/>
    <w:rsid w:val="0085513E"/>
    <w:rsid w:val="00861B32"/>
    <w:rsid w:val="00864989"/>
    <w:rsid w:val="008720F7"/>
    <w:rsid w:val="0087395B"/>
    <w:rsid w:val="008824B0"/>
    <w:rsid w:val="008839C1"/>
    <w:rsid w:val="00884F49"/>
    <w:rsid w:val="00890B96"/>
    <w:rsid w:val="00890FAC"/>
    <w:rsid w:val="008A1EA6"/>
    <w:rsid w:val="008B4FFB"/>
    <w:rsid w:val="008B6A07"/>
    <w:rsid w:val="008D1421"/>
    <w:rsid w:val="008E2814"/>
    <w:rsid w:val="008F4959"/>
    <w:rsid w:val="00903BD9"/>
    <w:rsid w:val="00905D58"/>
    <w:rsid w:val="00912B3B"/>
    <w:rsid w:val="0091774F"/>
    <w:rsid w:val="00923C0B"/>
    <w:rsid w:val="00925C10"/>
    <w:rsid w:val="009361DF"/>
    <w:rsid w:val="00940C23"/>
    <w:rsid w:val="00941EDF"/>
    <w:rsid w:val="00942763"/>
    <w:rsid w:val="009517C2"/>
    <w:rsid w:val="00967AE2"/>
    <w:rsid w:val="0097381B"/>
    <w:rsid w:val="00975B74"/>
    <w:rsid w:val="00982C91"/>
    <w:rsid w:val="00995DC2"/>
    <w:rsid w:val="009A3ECD"/>
    <w:rsid w:val="009C35FE"/>
    <w:rsid w:val="009C6CE5"/>
    <w:rsid w:val="009C7F70"/>
    <w:rsid w:val="009E4789"/>
    <w:rsid w:val="00A10A98"/>
    <w:rsid w:val="00A2744A"/>
    <w:rsid w:val="00A31DD9"/>
    <w:rsid w:val="00A414AC"/>
    <w:rsid w:val="00A4211F"/>
    <w:rsid w:val="00A5336E"/>
    <w:rsid w:val="00A55868"/>
    <w:rsid w:val="00A6323C"/>
    <w:rsid w:val="00A72689"/>
    <w:rsid w:val="00A73A67"/>
    <w:rsid w:val="00A77FF6"/>
    <w:rsid w:val="00A81580"/>
    <w:rsid w:val="00A857B1"/>
    <w:rsid w:val="00A90C73"/>
    <w:rsid w:val="00A9141B"/>
    <w:rsid w:val="00AA72CC"/>
    <w:rsid w:val="00AB4D60"/>
    <w:rsid w:val="00AB799B"/>
    <w:rsid w:val="00AC1051"/>
    <w:rsid w:val="00AC2C01"/>
    <w:rsid w:val="00AC4496"/>
    <w:rsid w:val="00AC4DE3"/>
    <w:rsid w:val="00AD441E"/>
    <w:rsid w:val="00AE1A0E"/>
    <w:rsid w:val="00AF4D58"/>
    <w:rsid w:val="00B3390B"/>
    <w:rsid w:val="00B35C46"/>
    <w:rsid w:val="00B56339"/>
    <w:rsid w:val="00B612C3"/>
    <w:rsid w:val="00B65016"/>
    <w:rsid w:val="00B66346"/>
    <w:rsid w:val="00B84C36"/>
    <w:rsid w:val="00B951B0"/>
    <w:rsid w:val="00BB53CB"/>
    <w:rsid w:val="00BB63D9"/>
    <w:rsid w:val="00BC2185"/>
    <w:rsid w:val="00BD3982"/>
    <w:rsid w:val="00BD6650"/>
    <w:rsid w:val="00BE2AF6"/>
    <w:rsid w:val="00BF2528"/>
    <w:rsid w:val="00C01F45"/>
    <w:rsid w:val="00C13A94"/>
    <w:rsid w:val="00C24989"/>
    <w:rsid w:val="00C34319"/>
    <w:rsid w:val="00C367AA"/>
    <w:rsid w:val="00C527B1"/>
    <w:rsid w:val="00C62208"/>
    <w:rsid w:val="00C642DC"/>
    <w:rsid w:val="00C66A35"/>
    <w:rsid w:val="00C82902"/>
    <w:rsid w:val="00C8709F"/>
    <w:rsid w:val="00C9600C"/>
    <w:rsid w:val="00C974B8"/>
    <w:rsid w:val="00C975C8"/>
    <w:rsid w:val="00C97B86"/>
    <w:rsid w:val="00CD0C4C"/>
    <w:rsid w:val="00CD6EB9"/>
    <w:rsid w:val="00CD7C75"/>
    <w:rsid w:val="00CD7F30"/>
    <w:rsid w:val="00CE568D"/>
    <w:rsid w:val="00CE56D0"/>
    <w:rsid w:val="00CE5825"/>
    <w:rsid w:val="00D00690"/>
    <w:rsid w:val="00D16C43"/>
    <w:rsid w:val="00D31DF7"/>
    <w:rsid w:val="00D40E7E"/>
    <w:rsid w:val="00D434C0"/>
    <w:rsid w:val="00D5141B"/>
    <w:rsid w:val="00D5220B"/>
    <w:rsid w:val="00D57D59"/>
    <w:rsid w:val="00D627C1"/>
    <w:rsid w:val="00D666DE"/>
    <w:rsid w:val="00D81336"/>
    <w:rsid w:val="00D8366D"/>
    <w:rsid w:val="00D87456"/>
    <w:rsid w:val="00D92FEA"/>
    <w:rsid w:val="00DA609E"/>
    <w:rsid w:val="00DA612B"/>
    <w:rsid w:val="00DA6C51"/>
    <w:rsid w:val="00DC7815"/>
    <w:rsid w:val="00DE6C19"/>
    <w:rsid w:val="00DE7015"/>
    <w:rsid w:val="00DF130E"/>
    <w:rsid w:val="00DF630E"/>
    <w:rsid w:val="00DF77D0"/>
    <w:rsid w:val="00E00669"/>
    <w:rsid w:val="00E200B1"/>
    <w:rsid w:val="00E37477"/>
    <w:rsid w:val="00E51517"/>
    <w:rsid w:val="00E5153D"/>
    <w:rsid w:val="00E52632"/>
    <w:rsid w:val="00E57E37"/>
    <w:rsid w:val="00E648FB"/>
    <w:rsid w:val="00E669E5"/>
    <w:rsid w:val="00E714A8"/>
    <w:rsid w:val="00E81475"/>
    <w:rsid w:val="00E83C9A"/>
    <w:rsid w:val="00EB2E58"/>
    <w:rsid w:val="00EC0E8D"/>
    <w:rsid w:val="00EC3EC7"/>
    <w:rsid w:val="00EC4781"/>
    <w:rsid w:val="00ED05D7"/>
    <w:rsid w:val="00EE07D9"/>
    <w:rsid w:val="00EF27F7"/>
    <w:rsid w:val="00F1560D"/>
    <w:rsid w:val="00F157C3"/>
    <w:rsid w:val="00F17ADF"/>
    <w:rsid w:val="00F22D85"/>
    <w:rsid w:val="00F3149D"/>
    <w:rsid w:val="00F66587"/>
    <w:rsid w:val="00F66D8B"/>
    <w:rsid w:val="00F67A9B"/>
    <w:rsid w:val="00F70CC3"/>
    <w:rsid w:val="00F72E39"/>
    <w:rsid w:val="00F75026"/>
    <w:rsid w:val="00F82D5E"/>
    <w:rsid w:val="00F8769E"/>
    <w:rsid w:val="00F87BDE"/>
    <w:rsid w:val="00F93B90"/>
    <w:rsid w:val="00F95982"/>
    <w:rsid w:val="00FA432B"/>
    <w:rsid w:val="00FB1354"/>
    <w:rsid w:val="00FB56DE"/>
    <w:rsid w:val="00FC4426"/>
    <w:rsid w:val="00FC7428"/>
    <w:rsid w:val="00FD602D"/>
    <w:rsid w:val="00FE1926"/>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 w:type="paragraph" w:customStyle="1" w:styleId="Body">
    <w:name w:val="Body"/>
    <w:rsid w:val="004D704C"/>
    <w:pPr>
      <w:pBdr>
        <w:top w:val="nil"/>
        <w:left w:val="nil"/>
        <w:bottom w:val="nil"/>
        <w:right w:val="nil"/>
        <w:between w:val="nil"/>
        <w:bar w:val="nil"/>
      </w:pBdr>
      <w:spacing w:line="240" w:lineRule="atLeast"/>
    </w:pPr>
    <w:rPr>
      <w:rFonts w:ascii="Georgia" w:eastAsia="Georgia" w:hAnsi="Georgia" w:cs="Georgia"/>
      <w:color w:val="000000"/>
      <w:sz w:val="20"/>
      <w:szCs w:val="20"/>
      <w:u w:color="000000"/>
      <w:bdr w:val="nil"/>
      <w:lang w:val="en-GB" w:eastAsia="en-GB"/>
    </w:rPr>
  </w:style>
  <w:style w:type="numbering" w:customStyle="1" w:styleId="List0">
    <w:name w:val="List 0"/>
    <w:basedOn w:val="NoList"/>
    <w:rsid w:val="004051F3"/>
    <w:pPr>
      <w:numPr>
        <w:numId w:val="28"/>
      </w:numPr>
    </w:pPr>
  </w:style>
  <w:style w:type="numbering" w:customStyle="1" w:styleId="List1">
    <w:name w:val="List 1"/>
    <w:basedOn w:val="NoList"/>
    <w:rsid w:val="004051F3"/>
    <w:pPr>
      <w:numPr>
        <w:numId w:val="36"/>
      </w:numPr>
    </w:pPr>
  </w:style>
  <w:style w:type="character" w:customStyle="1" w:styleId="Hyperlink0">
    <w:name w:val="Hyperlink.0"/>
    <w:basedOn w:val="DefaultParagraphFont"/>
    <w:rsid w:val="004051F3"/>
    <w:rPr>
      <w:color w:val="0000FF"/>
      <w:u w:val="single" w:color="0000FF"/>
      <w:lang w:val="en-US"/>
    </w:rPr>
  </w:style>
  <w:style w:type="paragraph" w:styleId="NoSpacing">
    <w:name w:val="No Spacing"/>
    <w:uiPriority w:val="1"/>
    <w:qFormat/>
    <w:rsid w:val="004051F3"/>
    <w:rPr>
      <w:rFonts w:ascii="Georgia" w:hAnsi="Georgia"/>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 w:type="paragraph" w:customStyle="1" w:styleId="Body">
    <w:name w:val="Body"/>
    <w:rsid w:val="004D704C"/>
    <w:pPr>
      <w:pBdr>
        <w:top w:val="nil"/>
        <w:left w:val="nil"/>
        <w:bottom w:val="nil"/>
        <w:right w:val="nil"/>
        <w:between w:val="nil"/>
        <w:bar w:val="nil"/>
      </w:pBdr>
      <w:spacing w:line="240" w:lineRule="atLeast"/>
    </w:pPr>
    <w:rPr>
      <w:rFonts w:ascii="Georgia" w:eastAsia="Georgia" w:hAnsi="Georgia" w:cs="Georgia"/>
      <w:color w:val="000000"/>
      <w:sz w:val="20"/>
      <w:szCs w:val="20"/>
      <w:u w:color="000000"/>
      <w:bdr w:val="nil"/>
      <w:lang w:val="en-GB" w:eastAsia="en-GB"/>
    </w:rPr>
  </w:style>
  <w:style w:type="numbering" w:customStyle="1" w:styleId="List0">
    <w:name w:val="List 0"/>
    <w:basedOn w:val="NoList"/>
    <w:rsid w:val="004051F3"/>
    <w:pPr>
      <w:numPr>
        <w:numId w:val="28"/>
      </w:numPr>
    </w:pPr>
  </w:style>
  <w:style w:type="numbering" w:customStyle="1" w:styleId="List1">
    <w:name w:val="List 1"/>
    <w:basedOn w:val="NoList"/>
    <w:rsid w:val="004051F3"/>
    <w:pPr>
      <w:numPr>
        <w:numId w:val="36"/>
      </w:numPr>
    </w:pPr>
  </w:style>
  <w:style w:type="character" w:customStyle="1" w:styleId="Hyperlink0">
    <w:name w:val="Hyperlink.0"/>
    <w:basedOn w:val="DefaultParagraphFont"/>
    <w:rsid w:val="004051F3"/>
    <w:rPr>
      <w:color w:val="0000FF"/>
      <w:u w:val="single" w:color="0000FF"/>
      <w:lang w:val="en-US"/>
    </w:rPr>
  </w:style>
  <w:style w:type="paragraph" w:styleId="NoSpacing">
    <w:name w:val="No Spacing"/>
    <w:uiPriority w:val="1"/>
    <w:qFormat/>
    <w:rsid w:val="004051F3"/>
    <w:rPr>
      <w:rFonts w:ascii="Georgia" w:hAnsi="Georgia"/>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63">
      <w:bodyDiv w:val="1"/>
      <w:marLeft w:val="0"/>
      <w:marRight w:val="0"/>
      <w:marTop w:val="0"/>
      <w:marBottom w:val="0"/>
      <w:divBdr>
        <w:top w:val="none" w:sz="0" w:space="0" w:color="auto"/>
        <w:left w:val="none" w:sz="0" w:space="0" w:color="auto"/>
        <w:bottom w:val="none" w:sz="0" w:space="0" w:color="auto"/>
        <w:right w:val="none" w:sz="0" w:space="0" w:color="auto"/>
      </w:divBdr>
    </w:div>
    <w:div w:id="8003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outloo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275C-FF23-4164-AF91-BF7F91CB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2</cp:revision>
  <cp:lastPrinted>2014-01-10T20:38:00Z</cp:lastPrinted>
  <dcterms:created xsi:type="dcterms:W3CDTF">2014-06-02T21:33:00Z</dcterms:created>
  <dcterms:modified xsi:type="dcterms:W3CDTF">2014-06-02T21:33:00Z</dcterms:modified>
</cp:coreProperties>
</file>