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4CAF" w:rsidRDefault="00700C89">
      <w:pPr>
        <w:pStyle w:val="Title"/>
        <w:rPr>
          <w:rFonts w:ascii="Georgia" w:hAnsi="Georgia"/>
        </w:rPr>
      </w:pPr>
      <w:bookmarkStart w:id="0" w:name="_GoBack"/>
      <w:bookmarkEnd w:id="0"/>
      <w:r>
        <w:rPr>
          <w:rFonts w:ascii="Georgia" w:hAnsi="Georgia"/>
        </w:rPr>
        <w:t>News release</w:t>
      </w:r>
    </w:p>
    <w:tbl>
      <w:tblPr>
        <w:tblW w:w="0" w:type="auto"/>
        <w:tblLayout w:type="fixed"/>
        <w:tblLook w:val="0000" w:firstRow="0" w:lastRow="0" w:firstColumn="0" w:lastColumn="0" w:noHBand="0" w:noVBand="0"/>
      </w:tblPr>
      <w:tblGrid>
        <w:gridCol w:w="1818"/>
        <w:gridCol w:w="7290"/>
      </w:tblGrid>
      <w:tr w:rsidR="00FC4CAF" w:rsidTr="006A0D2D">
        <w:tc>
          <w:tcPr>
            <w:tcW w:w="1818" w:type="dxa"/>
          </w:tcPr>
          <w:p w:rsidR="00FC4CAF" w:rsidRDefault="00700C89">
            <w:pPr>
              <w:rPr>
                <w:i/>
              </w:rPr>
            </w:pPr>
            <w:r>
              <w:rPr>
                <w:i/>
              </w:rPr>
              <w:t>Date</w:t>
            </w:r>
          </w:p>
        </w:tc>
        <w:tc>
          <w:tcPr>
            <w:tcW w:w="7290" w:type="dxa"/>
          </w:tcPr>
          <w:p w:rsidR="00FC4CAF" w:rsidRPr="00D10A37" w:rsidRDefault="00B05B67" w:rsidP="000C46DC">
            <w:pPr>
              <w:ind w:right="-391"/>
              <w:rPr>
                <w:b/>
              </w:rPr>
            </w:pPr>
            <w:r>
              <w:rPr>
                <w:b/>
              </w:rPr>
              <w:t xml:space="preserve">EMBARGOED </w:t>
            </w:r>
            <w:r w:rsidR="000C46DC">
              <w:rPr>
                <w:b/>
              </w:rPr>
              <w:t xml:space="preserve">until </w:t>
            </w:r>
            <w:r>
              <w:rPr>
                <w:b/>
              </w:rPr>
              <w:t>5 May</w:t>
            </w:r>
            <w:r w:rsidR="00BD2197">
              <w:rPr>
                <w:b/>
              </w:rPr>
              <w:t xml:space="preserve"> </w:t>
            </w:r>
            <w:r w:rsidR="00700C89" w:rsidRPr="00D10A37">
              <w:rPr>
                <w:b/>
              </w:rPr>
              <w:t>201</w:t>
            </w:r>
            <w:r w:rsidR="009E4D39" w:rsidRPr="00D10A37">
              <w:rPr>
                <w:b/>
              </w:rPr>
              <w:t>4</w:t>
            </w:r>
            <w:r w:rsidR="00445857">
              <w:rPr>
                <w:b/>
              </w:rPr>
              <w:t xml:space="preserve">  </w:t>
            </w:r>
          </w:p>
        </w:tc>
      </w:tr>
      <w:tr w:rsidR="00FC4CAF" w:rsidRPr="00361D96" w:rsidTr="006A0D2D">
        <w:tc>
          <w:tcPr>
            <w:tcW w:w="1818" w:type="dxa"/>
          </w:tcPr>
          <w:p w:rsidR="00FC4CAF" w:rsidRDefault="00FC4CAF">
            <w:pPr>
              <w:rPr>
                <w:i/>
              </w:rPr>
            </w:pPr>
          </w:p>
          <w:p w:rsidR="00FC4CAF" w:rsidRDefault="00700C89">
            <w:pPr>
              <w:rPr>
                <w:i/>
              </w:rPr>
            </w:pPr>
            <w:r>
              <w:rPr>
                <w:i/>
              </w:rPr>
              <w:t>Contact</w:t>
            </w:r>
          </w:p>
        </w:tc>
        <w:tc>
          <w:tcPr>
            <w:tcW w:w="7290" w:type="dxa"/>
          </w:tcPr>
          <w:p w:rsidR="00FC4CAF" w:rsidRPr="00D3331D" w:rsidRDefault="00FC4CAF">
            <w:pPr>
              <w:tabs>
                <w:tab w:val="left" w:pos="1440"/>
              </w:tabs>
              <w:ind w:left="1440" w:hanging="1440"/>
              <w:rPr>
                <w:rFonts w:cs="Arial"/>
                <w:b/>
                <w:bCs/>
                <w:color w:val="000000"/>
                <w:lang w:val="en-US"/>
              </w:rPr>
            </w:pPr>
          </w:p>
          <w:p w:rsidR="00674C1C" w:rsidRDefault="005100F3">
            <w:pPr>
              <w:tabs>
                <w:tab w:val="left" w:pos="1440"/>
              </w:tabs>
              <w:ind w:left="1440" w:hanging="1440"/>
              <w:rPr>
                <w:rFonts w:cs="Arial"/>
                <w:b/>
                <w:bCs/>
                <w:color w:val="000000"/>
                <w:lang w:val="it-IT"/>
              </w:rPr>
            </w:pPr>
            <w:r>
              <w:rPr>
                <w:rFonts w:cs="Arial"/>
                <w:b/>
                <w:bCs/>
                <w:color w:val="000000"/>
                <w:lang w:val="it-IT"/>
              </w:rPr>
              <w:t>Daniel EL Tan</w:t>
            </w:r>
          </w:p>
          <w:p w:rsidR="00FC4CAF" w:rsidRDefault="00700C89">
            <w:pPr>
              <w:tabs>
                <w:tab w:val="left" w:pos="1440"/>
              </w:tabs>
              <w:ind w:left="1440" w:hanging="1440"/>
              <w:rPr>
                <w:rFonts w:cs="Arial"/>
                <w:color w:val="000000"/>
                <w:lang w:val="en-US"/>
              </w:rPr>
            </w:pPr>
            <w:r>
              <w:rPr>
                <w:rFonts w:cs="Arial"/>
                <w:color w:val="000000"/>
                <w:lang w:val="en-US"/>
              </w:rPr>
              <w:t>Tel: +</w:t>
            </w:r>
            <w:r w:rsidR="005100F3">
              <w:rPr>
                <w:rFonts w:cs="Arial"/>
                <w:color w:val="000000"/>
                <w:lang w:val="en-US"/>
              </w:rPr>
              <w:t xml:space="preserve"> 65 6236 3960</w:t>
            </w:r>
          </w:p>
          <w:p w:rsidR="00FC4CAF" w:rsidRDefault="00700C89" w:rsidP="00BD2197">
            <w:pPr>
              <w:tabs>
                <w:tab w:val="left" w:pos="1440"/>
              </w:tabs>
              <w:ind w:left="1440" w:hanging="1440"/>
              <w:rPr>
                <w:rFonts w:cs="Arial"/>
                <w:color w:val="000000"/>
                <w:lang w:val="it-IT"/>
              </w:rPr>
            </w:pPr>
            <w:r>
              <w:rPr>
                <w:rFonts w:cs="Arial"/>
                <w:color w:val="000000"/>
                <w:lang w:val="it-IT"/>
              </w:rPr>
              <w:t xml:space="preserve">e-mail: </w:t>
            </w:r>
            <w:r w:rsidR="005100F3">
              <w:rPr>
                <w:rFonts w:cs="Arial"/>
                <w:lang w:val="it-IT"/>
              </w:rPr>
              <w:t>daniel.el.tan</w:t>
            </w:r>
            <w:r w:rsidR="00674C1C">
              <w:rPr>
                <w:rFonts w:cs="Arial"/>
                <w:lang w:val="it-IT"/>
              </w:rPr>
              <w:t>@sg.pwc.com</w:t>
            </w:r>
          </w:p>
        </w:tc>
      </w:tr>
      <w:tr w:rsidR="00FC4CAF" w:rsidTr="00852751">
        <w:trPr>
          <w:trHeight w:val="695"/>
        </w:trPr>
        <w:tc>
          <w:tcPr>
            <w:tcW w:w="1818" w:type="dxa"/>
          </w:tcPr>
          <w:p w:rsidR="003E2100" w:rsidRPr="005530E0" w:rsidRDefault="003E2100">
            <w:pPr>
              <w:rPr>
                <w:i/>
                <w:lang w:val="de-DE"/>
              </w:rPr>
            </w:pPr>
          </w:p>
          <w:p w:rsidR="00FC4CAF" w:rsidRDefault="00700C89">
            <w:pPr>
              <w:rPr>
                <w:i/>
              </w:rPr>
            </w:pPr>
            <w:r>
              <w:rPr>
                <w:i/>
              </w:rPr>
              <w:t xml:space="preserve">Pages </w:t>
            </w:r>
          </w:p>
        </w:tc>
        <w:tc>
          <w:tcPr>
            <w:tcW w:w="7290" w:type="dxa"/>
          </w:tcPr>
          <w:p w:rsidR="00492CF2" w:rsidRDefault="00492CF2"/>
          <w:p w:rsidR="004C24C2" w:rsidRDefault="00DE6BF0" w:rsidP="00027896">
            <w:r>
              <w:t>4</w:t>
            </w:r>
          </w:p>
        </w:tc>
      </w:tr>
    </w:tbl>
    <w:p w:rsidR="00FC4CAF" w:rsidRDefault="00FC4CAF" w:rsidP="00852751">
      <w:pPr>
        <w:pStyle w:val="Title"/>
        <w:pBdr>
          <w:top w:val="single" w:sz="8" w:space="0" w:color="DC6900"/>
        </w:pBdr>
        <w:spacing w:after="0"/>
        <w:contextualSpacing w:val="0"/>
      </w:pPr>
    </w:p>
    <w:p w:rsidR="00674C1C" w:rsidRDefault="00B05B67" w:rsidP="00674C1C">
      <w:pPr>
        <w:spacing w:line="240" w:lineRule="auto"/>
        <w:jc w:val="center"/>
        <w:outlineLvl w:val="0"/>
        <w:rPr>
          <w:b/>
          <w:bCs/>
          <w:sz w:val="24"/>
          <w:szCs w:val="24"/>
        </w:rPr>
      </w:pPr>
      <w:r>
        <w:rPr>
          <w:b/>
          <w:bCs/>
          <w:sz w:val="24"/>
          <w:szCs w:val="24"/>
        </w:rPr>
        <w:t>Pw</w:t>
      </w:r>
      <w:r w:rsidR="003F2194">
        <w:rPr>
          <w:b/>
          <w:bCs/>
          <w:sz w:val="24"/>
          <w:szCs w:val="24"/>
        </w:rPr>
        <w:t>C:</w:t>
      </w:r>
      <w:r w:rsidR="009A15D9">
        <w:rPr>
          <w:b/>
          <w:bCs/>
          <w:sz w:val="24"/>
          <w:szCs w:val="24"/>
        </w:rPr>
        <w:t xml:space="preserve"> Companies operating in Asia face significantly higher risks and challenges </w:t>
      </w:r>
      <w:r w:rsidR="003F2194">
        <w:rPr>
          <w:b/>
          <w:bCs/>
          <w:sz w:val="24"/>
          <w:szCs w:val="24"/>
        </w:rPr>
        <w:t xml:space="preserve">as </w:t>
      </w:r>
      <w:r w:rsidR="009A15D9">
        <w:rPr>
          <w:b/>
          <w:bCs/>
          <w:sz w:val="24"/>
          <w:szCs w:val="24"/>
        </w:rPr>
        <w:t>compared to most of the world</w:t>
      </w:r>
    </w:p>
    <w:p w:rsidR="001C2873" w:rsidRDefault="001C2873" w:rsidP="00674C1C">
      <w:pPr>
        <w:spacing w:line="240" w:lineRule="auto"/>
        <w:jc w:val="center"/>
        <w:outlineLvl w:val="0"/>
        <w:rPr>
          <w:b/>
          <w:bCs/>
          <w:sz w:val="24"/>
          <w:szCs w:val="24"/>
        </w:rPr>
      </w:pPr>
    </w:p>
    <w:p w:rsidR="001C2873" w:rsidRDefault="001C2873">
      <w:pPr>
        <w:pStyle w:val="ListParagraph"/>
        <w:numPr>
          <w:ilvl w:val="0"/>
          <w:numId w:val="23"/>
        </w:numPr>
        <w:spacing w:line="240" w:lineRule="auto"/>
        <w:outlineLvl w:val="0"/>
        <w:rPr>
          <w:bCs/>
          <w:i/>
          <w:kern w:val="36"/>
          <w:sz w:val="24"/>
          <w:szCs w:val="24"/>
          <w:lang w:val="en-US"/>
        </w:rPr>
      </w:pPr>
      <w:r>
        <w:rPr>
          <w:bCs/>
          <w:i/>
          <w:kern w:val="36"/>
          <w:sz w:val="24"/>
          <w:szCs w:val="24"/>
          <w:lang w:val="en-US"/>
        </w:rPr>
        <w:t>Survey reveals</w:t>
      </w:r>
      <w:r w:rsidR="00772B64">
        <w:rPr>
          <w:bCs/>
          <w:i/>
          <w:kern w:val="36"/>
          <w:sz w:val="24"/>
          <w:szCs w:val="24"/>
          <w:lang w:val="en-US"/>
        </w:rPr>
        <w:t xml:space="preserve"> rising</w:t>
      </w:r>
      <w:r>
        <w:rPr>
          <w:bCs/>
          <w:i/>
          <w:kern w:val="36"/>
          <w:sz w:val="24"/>
          <w:szCs w:val="24"/>
          <w:lang w:val="en-US"/>
        </w:rPr>
        <w:t xml:space="preserve"> pressures on businesses as growth in Asia brings about </w:t>
      </w:r>
      <w:r w:rsidR="00772B64">
        <w:rPr>
          <w:bCs/>
          <w:i/>
          <w:kern w:val="36"/>
          <w:sz w:val="24"/>
          <w:szCs w:val="24"/>
          <w:lang w:val="en-US"/>
        </w:rPr>
        <w:t xml:space="preserve">increasing </w:t>
      </w:r>
      <w:r>
        <w:rPr>
          <w:bCs/>
          <w:i/>
          <w:kern w:val="36"/>
          <w:sz w:val="24"/>
          <w:szCs w:val="24"/>
          <w:lang w:val="en-US"/>
        </w:rPr>
        <w:t>complexities and risks</w:t>
      </w:r>
    </w:p>
    <w:p w:rsidR="00772B64" w:rsidRDefault="00B30BAD">
      <w:pPr>
        <w:pStyle w:val="ListParagraph"/>
        <w:numPr>
          <w:ilvl w:val="0"/>
          <w:numId w:val="23"/>
        </w:numPr>
        <w:spacing w:line="240" w:lineRule="auto"/>
        <w:outlineLvl w:val="0"/>
        <w:rPr>
          <w:bCs/>
          <w:i/>
          <w:kern w:val="36"/>
          <w:sz w:val="24"/>
          <w:szCs w:val="24"/>
          <w:lang w:val="en-US"/>
        </w:rPr>
      </w:pPr>
      <w:r>
        <w:rPr>
          <w:bCs/>
          <w:i/>
          <w:kern w:val="36"/>
          <w:sz w:val="24"/>
          <w:szCs w:val="24"/>
          <w:lang w:val="en-US"/>
        </w:rPr>
        <w:t xml:space="preserve">Survey also reveals significant opportunities for </w:t>
      </w:r>
      <w:r w:rsidR="00772B64">
        <w:rPr>
          <w:bCs/>
          <w:i/>
          <w:kern w:val="36"/>
          <w:sz w:val="24"/>
          <w:szCs w:val="24"/>
          <w:lang w:val="en-US"/>
        </w:rPr>
        <w:t xml:space="preserve">Asian corporate treasuries striving to </w:t>
      </w:r>
      <w:r w:rsidR="00C76DB8">
        <w:rPr>
          <w:bCs/>
          <w:i/>
          <w:kern w:val="36"/>
          <w:sz w:val="24"/>
          <w:szCs w:val="24"/>
          <w:lang w:val="en-US"/>
        </w:rPr>
        <w:t>be process efficient and</w:t>
      </w:r>
      <w:r>
        <w:rPr>
          <w:bCs/>
          <w:i/>
          <w:kern w:val="36"/>
          <w:sz w:val="24"/>
          <w:szCs w:val="24"/>
          <w:lang w:val="en-US"/>
        </w:rPr>
        <w:t xml:space="preserve"> strategic amidst these challenges</w:t>
      </w:r>
    </w:p>
    <w:p w:rsidR="00BD2197" w:rsidRPr="00B30BAD" w:rsidRDefault="00BD2197" w:rsidP="00B30BAD">
      <w:pPr>
        <w:pStyle w:val="ListParagraph"/>
        <w:spacing w:line="240" w:lineRule="auto"/>
        <w:outlineLvl w:val="0"/>
        <w:rPr>
          <w:bCs/>
          <w:i/>
          <w:kern w:val="36"/>
          <w:sz w:val="24"/>
          <w:szCs w:val="24"/>
          <w:lang w:val="en-US"/>
        </w:rPr>
      </w:pPr>
    </w:p>
    <w:p w:rsidR="00DD1A4B" w:rsidRDefault="00674C1C" w:rsidP="00BD2197">
      <w:pPr>
        <w:spacing w:line="240" w:lineRule="auto"/>
        <w:rPr>
          <w:bCs/>
          <w:sz w:val="22"/>
          <w:lang w:val="en-US"/>
        </w:rPr>
      </w:pPr>
      <w:r>
        <w:rPr>
          <w:b/>
          <w:bCs/>
          <w:sz w:val="22"/>
          <w:lang w:val="en-US"/>
        </w:rPr>
        <w:t>Singapore</w:t>
      </w:r>
      <w:r w:rsidR="00E22A18">
        <w:rPr>
          <w:b/>
          <w:bCs/>
          <w:sz w:val="22"/>
          <w:lang w:val="en-US"/>
        </w:rPr>
        <w:t xml:space="preserve">, </w:t>
      </w:r>
      <w:r w:rsidR="001F28BB">
        <w:rPr>
          <w:b/>
          <w:bCs/>
          <w:sz w:val="22"/>
          <w:lang w:val="en-US"/>
        </w:rPr>
        <w:t>5 May</w:t>
      </w:r>
      <w:r w:rsidR="00DA7354">
        <w:rPr>
          <w:b/>
          <w:bCs/>
          <w:sz w:val="22"/>
          <w:lang w:val="en-US"/>
        </w:rPr>
        <w:t xml:space="preserve"> 2014 </w:t>
      </w:r>
      <w:r w:rsidR="001F28BB">
        <w:rPr>
          <w:b/>
          <w:bCs/>
          <w:sz w:val="22"/>
          <w:lang w:val="en-US"/>
        </w:rPr>
        <w:t>–</w:t>
      </w:r>
      <w:r w:rsidR="00DA7354">
        <w:rPr>
          <w:b/>
          <w:bCs/>
          <w:sz w:val="22"/>
          <w:lang w:val="en-US"/>
        </w:rPr>
        <w:t xml:space="preserve"> </w:t>
      </w:r>
      <w:r w:rsidR="004E1F71">
        <w:rPr>
          <w:bCs/>
          <w:sz w:val="22"/>
          <w:lang w:val="en-US"/>
        </w:rPr>
        <w:t xml:space="preserve">PwC’s </w:t>
      </w:r>
      <w:r w:rsidR="001F28BB">
        <w:rPr>
          <w:bCs/>
          <w:sz w:val="22"/>
          <w:lang w:val="en-US"/>
        </w:rPr>
        <w:t xml:space="preserve">survey on Asian corporate treasuries, launched today, </w:t>
      </w:r>
      <w:r w:rsidR="00834156">
        <w:rPr>
          <w:bCs/>
          <w:sz w:val="22"/>
          <w:lang w:val="en-US"/>
        </w:rPr>
        <w:t>found</w:t>
      </w:r>
      <w:r w:rsidR="001F28BB">
        <w:rPr>
          <w:bCs/>
          <w:sz w:val="22"/>
          <w:lang w:val="en-US"/>
        </w:rPr>
        <w:t xml:space="preserve"> that the increasingly complex</w:t>
      </w:r>
      <w:r w:rsidR="001D41C7">
        <w:rPr>
          <w:bCs/>
          <w:sz w:val="22"/>
          <w:lang w:val="en-US"/>
        </w:rPr>
        <w:t xml:space="preserve"> and demanding</w:t>
      </w:r>
      <w:r w:rsidR="001F28BB">
        <w:rPr>
          <w:bCs/>
          <w:sz w:val="22"/>
          <w:lang w:val="en-US"/>
        </w:rPr>
        <w:t xml:space="preserve"> business environment</w:t>
      </w:r>
      <w:r w:rsidR="001D41C7">
        <w:rPr>
          <w:bCs/>
          <w:sz w:val="22"/>
          <w:lang w:val="en-US"/>
        </w:rPr>
        <w:t xml:space="preserve"> </w:t>
      </w:r>
      <w:r w:rsidR="008B018E">
        <w:rPr>
          <w:bCs/>
          <w:sz w:val="22"/>
          <w:lang w:val="en-US"/>
        </w:rPr>
        <w:t>–</w:t>
      </w:r>
      <w:r w:rsidR="001F28BB">
        <w:rPr>
          <w:bCs/>
          <w:sz w:val="22"/>
          <w:lang w:val="en-US"/>
        </w:rPr>
        <w:t xml:space="preserve"> brought on by macroeconomic factors such as </w:t>
      </w:r>
      <w:proofErr w:type="spellStart"/>
      <w:r w:rsidR="001F28BB">
        <w:rPr>
          <w:bCs/>
          <w:sz w:val="22"/>
          <w:lang w:val="en-US"/>
        </w:rPr>
        <w:t>globalisation</w:t>
      </w:r>
      <w:proofErr w:type="spellEnd"/>
      <w:r w:rsidR="001F28BB">
        <w:rPr>
          <w:bCs/>
          <w:sz w:val="22"/>
          <w:lang w:val="en-US"/>
        </w:rPr>
        <w:t xml:space="preserve">, </w:t>
      </w:r>
      <w:r w:rsidR="00DD1A4B">
        <w:rPr>
          <w:bCs/>
          <w:sz w:val="22"/>
          <w:lang w:val="en-US"/>
        </w:rPr>
        <w:t>increasing regulation</w:t>
      </w:r>
      <w:r w:rsidR="000D54B8">
        <w:rPr>
          <w:bCs/>
          <w:sz w:val="22"/>
          <w:lang w:val="en-US"/>
        </w:rPr>
        <w:t>s</w:t>
      </w:r>
      <w:r w:rsidR="00DD1A4B">
        <w:rPr>
          <w:bCs/>
          <w:sz w:val="22"/>
          <w:lang w:val="en-US"/>
        </w:rPr>
        <w:t xml:space="preserve"> </w:t>
      </w:r>
      <w:r w:rsidR="001F28BB">
        <w:rPr>
          <w:bCs/>
          <w:sz w:val="22"/>
          <w:lang w:val="en-US"/>
        </w:rPr>
        <w:t>and market volatility</w:t>
      </w:r>
      <w:r w:rsidR="001D41C7">
        <w:rPr>
          <w:bCs/>
          <w:sz w:val="22"/>
          <w:lang w:val="en-US"/>
        </w:rPr>
        <w:t xml:space="preserve"> </w:t>
      </w:r>
      <w:r w:rsidR="008B018E">
        <w:rPr>
          <w:bCs/>
          <w:sz w:val="22"/>
          <w:lang w:val="en-US"/>
        </w:rPr>
        <w:t>–</w:t>
      </w:r>
      <w:r w:rsidR="001F28BB">
        <w:rPr>
          <w:bCs/>
          <w:sz w:val="22"/>
          <w:lang w:val="en-US"/>
        </w:rPr>
        <w:t xml:space="preserve"> </w:t>
      </w:r>
      <w:r w:rsidR="008B018E">
        <w:rPr>
          <w:bCs/>
          <w:sz w:val="22"/>
          <w:lang w:val="en-US"/>
        </w:rPr>
        <w:t>i</w:t>
      </w:r>
      <w:r w:rsidR="001F28BB">
        <w:rPr>
          <w:bCs/>
          <w:sz w:val="22"/>
          <w:lang w:val="en-US"/>
        </w:rPr>
        <w:t xml:space="preserve">s putting increasing pressure on </w:t>
      </w:r>
      <w:r w:rsidR="000D54B8">
        <w:rPr>
          <w:bCs/>
          <w:sz w:val="22"/>
          <w:lang w:val="en-US"/>
        </w:rPr>
        <w:t xml:space="preserve">businesses. </w:t>
      </w:r>
      <w:r w:rsidR="006F31D0">
        <w:rPr>
          <w:bCs/>
          <w:sz w:val="22"/>
          <w:lang w:val="en-US"/>
        </w:rPr>
        <w:t>This presents significant op</w:t>
      </w:r>
      <w:r w:rsidR="00137EA3">
        <w:rPr>
          <w:bCs/>
          <w:sz w:val="22"/>
          <w:lang w:val="en-US"/>
        </w:rPr>
        <w:t xml:space="preserve">portunities for </w:t>
      </w:r>
      <w:r w:rsidR="004A4A8B">
        <w:rPr>
          <w:bCs/>
          <w:sz w:val="22"/>
          <w:lang w:val="en-US"/>
        </w:rPr>
        <w:t>CFO</w:t>
      </w:r>
      <w:r w:rsidR="00137EA3">
        <w:rPr>
          <w:bCs/>
          <w:sz w:val="22"/>
          <w:lang w:val="en-US"/>
        </w:rPr>
        <w:t>s</w:t>
      </w:r>
      <w:r w:rsidR="004A4A8B">
        <w:rPr>
          <w:bCs/>
          <w:sz w:val="22"/>
          <w:lang w:val="en-US"/>
        </w:rPr>
        <w:t xml:space="preserve"> and </w:t>
      </w:r>
      <w:r w:rsidR="00137EA3">
        <w:rPr>
          <w:bCs/>
          <w:sz w:val="22"/>
          <w:lang w:val="en-US"/>
        </w:rPr>
        <w:t xml:space="preserve">Treasurers to collaborate </w:t>
      </w:r>
      <w:r w:rsidR="004A4A8B">
        <w:rPr>
          <w:bCs/>
          <w:sz w:val="22"/>
          <w:lang w:val="en-US"/>
        </w:rPr>
        <w:t xml:space="preserve">in </w:t>
      </w:r>
      <w:r w:rsidR="006F31D0">
        <w:rPr>
          <w:bCs/>
          <w:sz w:val="22"/>
          <w:lang w:val="en-US"/>
        </w:rPr>
        <w:t>transform</w:t>
      </w:r>
      <w:r w:rsidR="004A4A8B">
        <w:rPr>
          <w:bCs/>
          <w:sz w:val="22"/>
          <w:lang w:val="en-US"/>
        </w:rPr>
        <w:t>ing</w:t>
      </w:r>
      <w:r w:rsidR="006F31D0">
        <w:rPr>
          <w:bCs/>
          <w:sz w:val="22"/>
          <w:lang w:val="en-US"/>
        </w:rPr>
        <w:t xml:space="preserve"> the</w:t>
      </w:r>
      <w:r w:rsidR="00137EA3">
        <w:rPr>
          <w:bCs/>
          <w:sz w:val="22"/>
          <w:lang w:val="en-US"/>
        </w:rPr>
        <w:t>ir organisations whilst</w:t>
      </w:r>
      <w:r w:rsidR="006F31D0">
        <w:rPr>
          <w:bCs/>
          <w:sz w:val="22"/>
          <w:lang w:val="en-US"/>
        </w:rPr>
        <w:t xml:space="preserve"> </w:t>
      </w:r>
      <w:r w:rsidR="00137EA3">
        <w:rPr>
          <w:bCs/>
          <w:sz w:val="22"/>
          <w:lang w:val="en-US"/>
        </w:rPr>
        <w:t>managing</w:t>
      </w:r>
      <w:r w:rsidR="006F31D0">
        <w:rPr>
          <w:bCs/>
          <w:sz w:val="22"/>
          <w:lang w:val="en-US"/>
        </w:rPr>
        <w:t xml:space="preserve"> these challenges and add</w:t>
      </w:r>
      <w:r w:rsidR="00137EA3">
        <w:rPr>
          <w:bCs/>
          <w:sz w:val="22"/>
          <w:lang w:val="en-US"/>
        </w:rPr>
        <w:t>ing</w:t>
      </w:r>
      <w:r w:rsidR="006F31D0">
        <w:rPr>
          <w:bCs/>
          <w:sz w:val="22"/>
          <w:lang w:val="en-US"/>
        </w:rPr>
        <w:t xml:space="preserve"> value to the business. </w:t>
      </w:r>
    </w:p>
    <w:p w:rsidR="001D41C7" w:rsidRDefault="001D41C7" w:rsidP="00BD2197">
      <w:pPr>
        <w:spacing w:line="240" w:lineRule="auto"/>
        <w:rPr>
          <w:bCs/>
          <w:sz w:val="22"/>
          <w:lang w:val="en-US"/>
        </w:rPr>
      </w:pPr>
    </w:p>
    <w:p w:rsidR="00155115" w:rsidRDefault="00155115" w:rsidP="00BD2197">
      <w:pPr>
        <w:spacing w:line="240" w:lineRule="auto"/>
        <w:rPr>
          <w:bCs/>
          <w:sz w:val="22"/>
          <w:lang w:val="en-US"/>
        </w:rPr>
      </w:pPr>
      <w:r>
        <w:rPr>
          <w:bCs/>
          <w:sz w:val="22"/>
          <w:lang w:val="en-US"/>
        </w:rPr>
        <w:t xml:space="preserve">Said </w:t>
      </w:r>
      <w:r w:rsidR="009A15D9">
        <w:rPr>
          <w:bCs/>
          <w:sz w:val="22"/>
          <w:lang w:val="en-US"/>
        </w:rPr>
        <w:t>Dominic Nixon</w:t>
      </w:r>
      <w:r>
        <w:rPr>
          <w:bCs/>
          <w:sz w:val="22"/>
          <w:lang w:val="en-US"/>
        </w:rPr>
        <w:t xml:space="preserve">, </w:t>
      </w:r>
      <w:r w:rsidR="009A15D9">
        <w:rPr>
          <w:bCs/>
          <w:sz w:val="22"/>
          <w:lang w:val="en-US"/>
        </w:rPr>
        <w:t xml:space="preserve">Risk </w:t>
      </w:r>
      <w:r w:rsidR="006F31D0">
        <w:rPr>
          <w:bCs/>
          <w:sz w:val="22"/>
          <w:lang w:val="en-US"/>
        </w:rPr>
        <w:t xml:space="preserve">Assurance </w:t>
      </w:r>
      <w:r w:rsidR="009A15D9">
        <w:rPr>
          <w:bCs/>
          <w:sz w:val="22"/>
          <w:lang w:val="en-US"/>
        </w:rPr>
        <w:t>Leader,</w:t>
      </w:r>
      <w:r w:rsidR="00B21F78">
        <w:rPr>
          <w:bCs/>
          <w:sz w:val="22"/>
          <w:lang w:val="en-US"/>
        </w:rPr>
        <w:t xml:space="preserve"> </w:t>
      </w:r>
      <w:r>
        <w:rPr>
          <w:bCs/>
          <w:sz w:val="22"/>
          <w:lang w:val="en-US"/>
        </w:rPr>
        <w:t>PwC Singapore:</w:t>
      </w:r>
    </w:p>
    <w:p w:rsidR="00155115" w:rsidRDefault="00155115" w:rsidP="00BD2197">
      <w:pPr>
        <w:spacing w:line="240" w:lineRule="auto"/>
        <w:rPr>
          <w:bCs/>
          <w:sz w:val="22"/>
          <w:lang w:val="en-US"/>
        </w:rPr>
      </w:pPr>
    </w:p>
    <w:p w:rsidR="00896ED4" w:rsidRDefault="001D41C7" w:rsidP="009571EE">
      <w:pPr>
        <w:spacing w:line="240" w:lineRule="auto"/>
        <w:ind w:left="284"/>
        <w:rPr>
          <w:sz w:val="22"/>
          <w:lang w:val="en-US" w:eastAsia="de-CH"/>
        </w:rPr>
      </w:pPr>
      <w:r w:rsidRPr="00B21F78">
        <w:rPr>
          <w:bCs/>
          <w:sz w:val="22"/>
          <w:lang w:val="en-US"/>
        </w:rPr>
        <w:t>“</w:t>
      </w:r>
      <w:r w:rsidR="000A07F5" w:rsidRPr="000A07F5">
        <w:rPr>
          <w:sz w:val="22"/>
          <w:lang w:val="en-US" w:eastAsia="de-CH"/>
        </w:rPr>
        <w:t>Operating in Asia presents many issues that affect all global companies</w:t>
      </w:r>
      <w:r w:rsidR="00867ACD">
        <w:rPr>
          <w:sz w:val="22"/>
          <w:lang w:val="en-US" w:eastAsia="de-CH"/>
        </w:rPr>
        <w:t>. T</w:t>
      </w:r>
      <w:r w:rsidR="000A07F5" w:rsidRPr="000A07F5">
        <w:rPr>
          <w:sz w:val="22"/>
          <w:lang w:val="en-US" w:eastAsia="de-CH"/>
        </w:rPr>
        <w:t>here are also many challenges unique to Asia. Unlike much of Europe</w:t>
      </w:r>
      <w:r w:rsidR="006F31D0">
        <w:rPr>
          <w:sz w:val="22"/>
          <w:lang w:val="en-US" w:eastAsia="de-CH"/>
        </w:rPr>
        <w:t xml:space="preserve"> or</w:t>
      </w:r>
      <w:r w:rsidR="008B018E">
        <w:rPr>
          <w:sz w:val="22"/>
          <w:lang w:val="en-US" w:eastAsia="de-CH"/>
        </w:rPr>
        <w:t xml:space="preserve"> the</w:t>
      </w:r>
      <w:r w:rsidR="006F31D0">
        <w:rPr>
          <w:sz w:val="22"/>
          <w:lang w:val="en-US" w:eastAsia="de-CH"/>
        </w:rPr>
        <w:t xml:space="preserve"> US</w:t>
      </w:r>
      <w:r w:rsidR="000A07F5" w:rsidRPr="000A07F5">
        <w:rPr>
          <w:sz w:val="22"/>
          <w:lang w:val="en-US" w:eastAsia="de-CH"/>
        </w:rPr>
        <w:t xml:space="preserve">, Asia </w:t>
      </w:r>
      <w:r w:rsidR="00867ACD">
        <w:rPr>
          <w:sz w:val="22"/>
          <w:lang w:val="en-US" w:eastAsia="de-CH"/>
        </w:rPr>
        <w:t xml:space="preserve">does not have a </w:t>
      </w:r>
      <w:r w:rsidR="00867ACD" w:rsidRPr="008B018E">
        <w:rPr>
          <w:bCs/>
          <w:sz w:val="22"/>
          <w:lang w:val="en-US"/>
        </w:rPr>
        <w:t>single</w:t>
      </w:r>
      <w:r w:rsidR="00867ACD">
        <w:rPr>
          <w:sz w:val="22"/>
          <w:lang w:val="en-US" w:eastAsia="de-CH"/>
        </w:rPr>
        <w:t xml:space="preserve"> currency</w:t>
      </w:r>
      <w:r w:rsidR="008B018E">
        <w:rPr>
          <w:sz w:val="22"/>
          <w:lang w:val="en-US" w:eastAsia="de-CH"/>
        </w:rPr>
        <w:t>; t</w:t>
      </w:r>
      <w:r w:rsidR="00867ACD">
        <w:rPr>
          <w:sz w:val="22"/>
          <w:lang w:val="en-US" w:eastAsia="de-CH"/>
        </w:rPr>
        <w:t>here is no single regulator;</w:t>
      </w:r>
      <w:r w:rsidR="000A07F5" w:rsidRPr="000A07F5">
        <w:rPr>
          <w:sz w:val="22"/>
          <w:lang w:val="en-US" w:eastAsia="de-CH"/>
        </w:rPr>
        <w:t xml:space="preserve"> the ba</w:t>
      </w:r>
      <w:r w:rsidR="00867ACD">
        <w:rPr>
          <w:sz w:val="22"/>
          <w:lang w:val="en-US" w:eastAsia="de-CH"/>
        </w:rPr>
        <w:t>nking landscape is very diverse;</w:t>
      </w:r>
      <w:r w:rsidR="000A07F5" w:rsidRPr="000A07F5">
        <w:rPr>
          <w:sz w:val="22"/>
          <w:lang w:val="en-US" w:eastAsia="de-CH"/>
        </w:rPr>
        <w:t xml:space="preserve"> and there are many </w:t>
      </w:r>
      <w:r w:rsidR="00867ACD">
        <w:rPr>
          <w:sz w:val="22"/>
          <w:lang w:val="en-US" w:eastAsia="de-CH"/>
        </w:rPr>
        <w:t>restrictions</w:t>
      </w:r>
      <w:r w:rsidR="00BE3E6E">
        <w:rPr>
          <w:sz w:val="22"/>
          <w:lang w:val="en-US" w:eastAsia="de-CH"/>
        </w:rPr>
        <w:t xml:space="preserve">/ regulations governing </w:t>
      </w:r>
      <w:r w:rsidR="000A07F5" w:rsidRPr="000A07F5">
        <w:rPr>
          <w:sz w:val="22"/>
          <w:lang w:val="en-US" w:eastAsia="de-CH"/>
        </w:rPr>
        <w:t>the multiple emerging currencies.</w:t>
      </w:r>
    </w:p>
    <w:p w:rsidR="008B018E" w:rsidRPr="00B21F78" w:rsidRDefault="008B018E" w:rsidP="009571EE">
      <w:pPr>
        <w:spacing w:line="240" w:lineRule="auto"/>
        <w:ind w:left="284"/>
        <w:rPr>
          <w:sz w:val="22"/>
        </w:rPr>
      </w:pPr>
    </w:p>
    <w:p w:rsidR="00155115" w:rsidRDefault="000C46DC" w:rsidP="009571EE">
      <w:pPr>
        <w:spacing w:line="240" w:lineRule="auto"/>
        <w:ind w:left="284"/>
        <w:rPr>
          <w:bCs/>
          <w:sz w:val="22"/>
          <w:lang w:val="en-US"/>
        </w:rPr>
      </w:pPr>
      <w:r>
        <w:rPr>
          <w:bCs/>
          <w:sz w:val="22"/>
          <w:lang w:val="en-US"/>
        </w:rPr>
        <w:t>“</w:t>
      </w:r>
      <w:r w:rsidR="00867ACD">
        <w:rPr>
          <w:bCs/>
          <w:sz w:val="22"/>
          <w:lang w:val="en-US"/>
        </w:rPr>
        <w:t>The multitude of risks organis</w:t>
      </w:r>
      <w:r w:rsidR="006457F8">
        <w:rPr>
          <w:bCs/>
          <w:sz w:val="22"/>
          <w:lang w:val="en-US"/>
        </w:rPr>
        <w:t>ations face can</w:t>
      </w:r>
      <w:r w:rsidR="00867ACD">
        <w:rPr>
          <w:bCs/>
          <w:sz w:val="22"/>
          <w:lang w:val="en-US"/>
        </w:rPr>
        <w:t xml:space="preserve"> be mitigated and managed by finance and</w:t>
      </w:r>
      <w:r w:rsidR="006457F8">
        <w:rPr>
          <w:bCs/>
          <w:sz w:val="22"/>
          <w:lang w:val="en-US"/>
        </w:rPr>
        <w:t xml:space="preserve"> corporate treasury functions. </w:t>
      </w:r>
      <w:r w:rsidR="00796F86">
        <w:rPr>
          <w:bCs/>
          <w:sz w:val="22"/>
          <w:lang w:val="en-US"/>
        </w:rPr>
        <w:t>F</w:t>
      </w:r>
      <w:r w:rsidR="000A07F5">
        <w:rPr>
          <w:bCs/>
          <w:sz w:val="22"/>
          <w:lang w:val="en-US"/>
        </w:rPr>
        <w:t xml:space="preserve">rom this survey, we are finding that there </w:t>
      </w:r>
      <w:r w:rsidR="00796F86">
        <w:rPr>
          <w:bCs/>
          <w:sz w:val="22"/>
          <w:lang w:val="en-US"/>
        </w:rPr>
        <w:t>are significant opportunities for corporate treasur</w:t>
      </w:r>
      <w:r w:rsidR="006457F8">
        <w:rPr>
          <w:bCs/>
          <w:sz w:val="22"/>
          <w:lang w:val="en-US"/>
        </w:rPr>
        <w:t>ers</w:t>
      </w:r>
      <w:r w:rsidR="00796F86">
        <w:rPr>
          <w:bCs/>
          <w:sz w:val="22"/>
          <w:lang w:val="en-US"/>
        </w:rPr>
        <w:t xml:space="preserve"> </w:t>
      </w:r>
      <w:r w:rsidR="000A07F5">
        <w:rPr>
          <w:bCs/>
          <w:sz w:val="22"/>
          <w:lang w:val="en-US"/>
        </w:rPr>
        <w:t xml:space="preserve">to </w:t>
      </w:r>
      <w:r w:rsidR="00867ACD">
        <w:rPr>
          <w:bCs/>
          <w:sz w:val="22"/>
          <w:lang w:val="en-US"/>
        </w:rPr>
        <w:t>take advantage of</w:t>
      </w:r>
      <w:r w:rsidR="006457F8">
        <w:rPr>
          <w:bCs/>
          <w:sz w:val="22"/>
          <w:lang w:val="en-US"/>
        </w:rPr>
        <w:t xml:space="preserve"> market uncertainties to </w:t>
      </w:r>
      <w:r w:rsidR="00D51387">
        <w:rPr>
          <w:bCs/>
          <w:sz w:val="22"/>
          <w:lang w:val="en-US"/>
        </w:rPr>
        <w:t xml:space="preserve">transform </w:t>
      </w:r>
      <w:r w:rsidR="006457F8">
        <w:rPr>
          <w:bCs/>
          <w:sz w:val="22"/>
          <w:lang w:val="en-US"/>
        </w:rPr>
        <w:t>their companies and c</w:t>
      </w:r>
      <w:r w:rsidR="000A626D">
        <w:rPr>
          <w:bCs/>
          <w:sz w:val="22"/>
          <w:lang w:val="en-US"/>
        </w:rPr>
        <w:t>ontribute to the</w:t>
      </w:r>
      <w:r w:rsidR="00B62F2B">
        <w:rPr>
          <w:bCs/>
          <w:sz w:val="22"/>
          <w:lang w:val="en-US"/>
        </w:rPr>
        <w:t xml:space="preserve"> business</w:t>
      </w:r>
      <w:r w:rsidR="000A07F5">
        <w:rPr>
          <w:bCs/>
          <w:sz w:val="22"/>
          <w:lang w:val="en-US"/>
        </w:rPr>
        <w:t>’</w:t>
      </w:r>
      <w:r w:rsidR="00B62F2B">
        <w:rPr>
          <w:bCs/>
          <w:sz w:val="22"/>
          <w:lang w:val="en-US"/>
        </w:rPr>
        <w:t xml:space="preserve"> bottom line</w:t>
      </w:r>
      <w:r w:rsidR="000A07F5">
        <w:rPr>
          <w:bCs/>
          <w:sz w:val="22"/>
          <w:lang w:val="en-US"/>
        </w:rPr>
        <w:t>.”</w:t>
      </w:r>
    </w:p>
    <w:p w:rsidR="006457F8" w:rsidRPr="00B21F78" w:rsidRDefault="006457F8" w:rsidP="00155115">
      <w:pPr>
        <w:spacing w:line="240" w:lineRule="auto"/>
        <w:ind w:left="720"/>
        <w:rPr>
          <w:bCs/>
          <w:sz w:val="22"/>
          <w:lang w:val="en-US"/>
        </w:rPr>
      </w:pPr>
    </w:p>
    <w:p w:rsidR="00155115" w:rsidRDefault="00867ACD" w:rsidP="00BD2197">
      <w:pPr>
        <w:spacing w:line="240" w:lineRule="auto"/>
        <w:rPr>
          <w:bCs/>
          <w:sz w:val="22"/>
          <w:lang w:val="en-US"/>
        </w:rPr>
      </w:pPr>
      <w:r>
        <w:rPr>
          <w:bCs/>
          <w:sz w:val="22"/>
          <w:lang w:val="en-US"/>
        </w:rPr>
        <w:t>According to th</w:t>
      </w:r>
      <w:r w:rsidR="00155115">
        <w:rPr>
          <w:bCs/>
          <w:sz w:val="22"/>
          <w:lang w:val="en-US"/>
        </w:rPr>
        <w:t xml:space="preserve">e </w:t>
      </w:r>
      <w:r>
        <w:rPr>
          <w:bCs/>
          <w:sz w:val="22"/>
          <w:lang w:val="en-US"/>
        </w:rPr>
        <w:t xml:space="preserve">survey, the following fronts are challenges </w:t>
      </w:r>
      <w:r w:rsidR="008B018E">
        <w:rPr>
          <w:bCs/>
          <w:sz w:val="22"/>
          <w:lang w:val="en-US"/>
        </w:rPr>
        <w:t xml:space="preserve">that </w:t>
      </w:r>
      <w:r w:rsidR="000E4909">
        <w:rPr>
          <w:bCs/>
          <w:sz w:val="22"/>
          <w:lang w:val="en-US"/>
        </w:rPr>
        <w:t xml:space="preserve">corporate treasuries in Asia </w:t>
      </w:r>
      <w:r>
        <w:rPr>
          <w:bCs/>
          <w:sz w:val="22"/>
          <w:lang w:val="en-US"/>
        </w:rPr>
        <w:t>face</w:t>
      </w:r>
      <w:r w:rsidR="000E4909">
        <w:rPr>
          <w:bCs/>
          <w:sz w:val="22"/>
          <w:lang w:val="en-US"/>
        </w:rPr>
        <w:t>:</w:t>
      </w:r>
    </w:p>
    <w:p w:rsidR="000E4909" w:rsidRDefault="000E4909" w:rsidP="00BD2197">
      <w:pPr>
        <w:spacing w:line="240" w:lineRule="auto"/>
        <w:rPr>
          <w:bCs/>
          <w:sz w:val="22"/>
          <w:lang w:val="en-US"/>
        </w:rPr>
      </w:pPr>
    </w:p>
    <w:p w:rsidR="004F1F7A" w:rsidRDefault="000E4909" w:rsidP="00BD2197">
      <w:pPr>
        <w:spacing w:line="240" w:lineRule="auto"/>
        <w:rPr>
          <w:bCs/>
          <w:sz w:val="22"/>
          <w:lang w:val="en-US"/>
        </w:rPr>
      </w:pPr>
      <w:r w:rsidRPr="00587ED3">
        <w:rPr>
          <w:b/>
          <w:bCs/>
          <w:sz w:val="22"/>
          <w:lang w:val="en-US"/>
        </w:rPr>
        <w:t xml:space="preserve">Talent </w:t>
      </w:r>
      <w:r w:rsidR="008B018E">
        <w:rPr>
          <w:b/>
          <w:bCs/>
          <w:sz w:val="22"/>
          <w:lang w:val="en-US"/>
        </w:rPr>
        <w:t>m</w:t>
      </w:r>
      <w:r w:rsidRPr="00587ED3">
        <w:rPr>
          <w:b/>
          <w:bCs/>
          <w:sz w:val="22"/>
          <w:lang w:val="en-US"/>
        </w:rPr>
        <w:t>anagement</w:t>
      </w:r>
    </w:p>
    <w:p w:rsidR="004F1F7A" w:rsidRDefault="002A527D" w:rsidP="00BD2197">
      <w:pPr>
        <w:spacing w:line="240" w:lineRule="auto"/>
        <w:rPr>
          <w:rFonts w:cs="ITCCharterCom-Regular"/>
          <w:sz w:val="22"/>
          <w:lang w:val="en-US"/>
        </w:rPr>
      </w:pPr>
      <w:r>
        <w:rPr>
          <w:rFonts w:cs="ITCCharterCom-Regular"/>
          <w:sz w:val="22"/>
          <w:lang w:val="en-US"/>
        </w:rPr>
        <w:t>Close to 30% of</w:t>
      </w:r>
      <w:r w:rsidR="004F1F7A" w:rsidRPr="00564FB8">
        <w:rPr>
          <w:rFonts w:cs="ITCCharterCom-Regular"/>
          <w:sz w:val="22"/>
          <w:lang w:val="en-US"/>
        </w:rPr>
        <w:t xml:space="preserve"> </w:t>
      </w:r>
      <w:r w:rsidR="00175527">
        <w:rPr>
          <w:rFonts w:cs="ITCCharterCom-Regular"/>
          <w:sz w:val="22"/>
          <w:lang w:val="en-US"/>
        </w:rPr>
        <w:t xml:space="preserve">respondents </w:t>
      </w:r>
      <w:r w:rsidR="004F1F7A" w:rsidRPr="00564FB8">
        <w:rPr>
          <w:rFonts w:cs="ITCCharterCom-Regular"/>
          <w:sz w:val="22"/>
          <w:lang w:val="en-US"/>
        </w:rPr>
        <w:t xml:space="preserve">operate in more than </w:t>
      </w:r>
      <w:r w:rsidR="000C46DC">
        <w:rPr>
          <w:rFonts w:cs="ITCCharterCom-Regular"/>
          <w:sz w:val="22"/>
          <w:lang w:val="en-US"/>
        </w:rPr>
        <w:t>six</w:t>
      </w:r>
      <w:r w:rsidR="000C46DC" w:rsidRPr="00564FB8">
        <w:rPr>
          <w:rFonts w:cs="ITCCharterCom-Regular"/>
          <w:sz w:val="22"/>
          <w:lang w:val="en-US"/>
        </w:rPr>
        <w:t xml:space="preserve"> </w:t>
      </w:r>
      <w:r w:rsidR="004F1F7A" w:rsidRPr="00564FB8">
        <w:rPr>
          <w:rFonts w:cs="ITCCharterCom-Regular"/>
          <w:sz w:val="22"/>
          <w:lang w:val="en-US"/>
        </w:rPr>
        <w:t>countries</w:t>
      </w:r>
      <w:r w:rsidR="00E04E22">
        <w:rPr>
          <w:rFonts w:cs="ITCCharterCom-Regular"/>
          <w:sz w:val="22"/>
          <w:lang w:val="en-US"/>
        </w:rPr>
        <w:t xml:space="preserve">. However, more than half of these </w:t>
      </w:r>
      <w:r w:rsidR="004F1F7A" w:rsidRPr="00564FB8">
        <w:rPr>
          <w:rFonts w:cs="ITCCharterCom-Regular"/>
          <w:sz w:val="22"/>
          <w:lang w:val="en-US"/>
        </w:rPr>
        <w:t xml:space="preserve">respondents had fewer than </w:t>
      </w:r>
      <w:r w:rsidR="000C46DC">
        <w:rPr>
          <w:rFonts w:cs="ITCCharterCom-Regular"/>
          <w:sz w:val="22"/>
          <w:lang w:val="en-US"/>
        </w:rPr>
        <w:t>five</w:t>
      </w:r>
      <w:r w:rsidR="004F1F7A" w:rsidRPr="00564FB8">
        <w:rPr>
          <w:rFonts w:cs="ITCCharterCom-Regular"/>
          <w:sz w:val="22"/>
          <w:lang w:val="en-US"/>
        </w:rPr>
        <w:t xml:space="preserve"> staff</w:t>
      </w:r>
      <w:r w:rsidR="00E04E22">
        <w:rPr>
          <w:rFonts w:cs="ITCCharterCom-Regular"/>
          <w:sz w:val="22"/>
          <w:lang w:val="en-US"/>
        </w:rPr>
        <w:t xml:space="preserve"> members</w:t>
      </w:r>
      <w:r w:rsidR="004F1F7A" w:rsidRPr="00564FB8">
        <w:rPr>
          <w:rFonts w:cs="ITCCharterCom-Regular"/>
          <w:sz w:val="22"/>
          <w:lang w:val="en-US"/>
        </w:rPr>
        <w:t xml:space="preserve"> in </w:t>
      </w:r>
      <w:r w:rsidR="00E04E22">
        <w:rPr>
          <w:rFonts w:cs="ITCCharterCom-Regular"/>
          <w:sz w:val="22"/>
          <w:lang w:val="en-US"/>
        </w:rPr>
        <w:t>the group treasury. Compared to</w:t>
      </w:r>
      <w:r w:rsidR="004F1F7A" w:rsidRPr="00564FB8">
        <w:rPr>
          <w:rFonts w:cs="ITCCharterCom-Regular"/>
          <w:sz w:val="22"/>
          <w:lang w:val="en-US"/>
        </w:rPr>
        <w:t xml:space="preserve"> </w:t>
      </w:r>
      <w:r w:rsidR="00E04E22">
        <w:rPr>
          <w:rFonts w:cs="ITCCharterCom-Regular"/>
          <w:sz w:val="22"/>
          <w:lang w:val="en-US"/>
        </w:rPr>
        <w:t xml:space="preserve">the </w:t>
      </w:r>
      <w:r w:rsidR="004F1F7A" w:rsidRPr="00564FB8">
        <w:rPr>
          <w:rFonts w:cs="ITCCharterCom-Regular"/>
          <w:sz w:val="22"/>
          <w:lang w:val="en-US"/>
        </w:rPr>
        <w:t xml:space="preserve">US </w:t>
      </w:r>
      <w:r w:rsidR="00B21F78" w:rsidRPr="00564FB8">
        <w:rPr>
          <w:rFonts w:cs="ITCCharterCom-Regular"/>
          <w:sz w:val="22"/>
          <w:lang w:val="en-US"/>
        </w:rPr>
        <w:t>and Europe</w:t>
      </w:r>
      <w:r w:rsidR="004F1F7A" w:rsidRPr="00564FB8">
        <w:rPr>
          <w:rFonts w:cs="ITCCharterCom-Regular"/>
          <w:sz w:val="22"/>
          <w:lang w:val="en-US"/>
        </w:rPr>
        <w:t xml:space="preserve">, </w:t>
      </w:r>
      <w:r w:rsidR="00564FB8">
        <w:rPr>
          <w:rFonts w:cs="ITCCharterCom-Regular"/>
          <w:sz w:val="22"/>
          <w:lang w:val="en-US"/>
        </w:rPr>
        <w:t>PwC had</w:t>
      </w:r>
      <w:r w:rsidR="00B21F78" w:rsidRPr="00564FB8">
        <w:rPr>
          <w:rFonts w:cs="ITCCharterCom-Regular"/>
          <w:sz w:val="22"/>
          <w:lang w:val="en-US"/>
        </w:rPr>
        <w:t xml:space="preserve"> expected</w:t>
      </w:r>
      <w:r w:rsidR="00E04E22">
        <w:rPr>
          <w:rFonts w:cs="ITCCharterCom-Regular"/>
          <w:sz w:val="22"/>
          <w:lang w:val="en-US"/>
        </w:rPr>
        <w:t xml:space="preserve"> more resources from</w:t>
      </w:r>
      <w:r w:rsidR="00B21F78" w:rsidRPr="00564FB8">
        <w:rPr>
          <w:rFonts w:cs="ITCCharterCom-Regular"/>
          <w:sz w:val="22"/>
          <w:lang w:val="en-US"/>
        </w:rPr>
        <w:t xml:space="preserve"> </w:t>
      </w:r>
      <w:r w:rsidR="00E04E22">
        <w:rPr>
          <w:rFonts w:cs="ITCCharterCom-Regular"/>
          <w:sz w:val="22"/>
          <w:lang w:val="en-US"/>
        </w:rPr>
        <w:t xml:space="preserve">the treasury </w:t>
      </w:r>
      <w:proofErr w:type="spellStart"/>
      <w:r w:rsidR="00E04E22">
        <w:rPr>
          <w:rFonts w:cs="ITCCharterCom-Regular"/>
          <w:sz w:val="22"/>
          <w:lang w:val="en-US"/>
        </w:rPr>
        <w:t>organis</w:t>
      </w:r>
      <w:r w:rsidR="004F1F7A" w:rsidRPr="00564FB8">
        <w:rPr>
          <w:rFonts w:cs="ITCCharterCom-Regular"/>
          <w:sz w:val="22"/>
          <w:lang w:val="en-US"/>
        </w:rPr>
        <w:t>ation</w:t>
      </w:r>
      <w:proofErr w:type="spellEnd"/>
      <w:r w:rsidR="00855A36">
        <w:rPr>
          <w:rFonts w:cs="ITCCharterCom-Regular"/>
          <w:sz w:val="22"/>
          <w:lang w:val="en-US"/>
        </w:rPr>
        <w:t xml:space="preserve"> in</w:t>
      </w:r>
      <w:r w:rsidR="004F1F7A" w:rsidRPr="00564FB8">
        <w:rPr>
          <w:rFonts w:cs="ITCCharterCom-Regular"/>
          <w:sz w:val="22"/>
          <w:lang w:val="en-US"/>
        </w:rPr>
        <w:t xml:space="preserve"> Asia</w:t>
      </w:r>
      <w:r w:rsidR="008B018E">
        <w:rPr>
          <w:rFonts w:cs="ITCCharterCom-Regular"/>
          <w:sz w:val="22"/>
          <w:lang w:val="en-US"/>
        </w:rPr>
        <w:t>,</w:t>
      </w:r>
      <w:r w:rsidR="004F1F7A" w:rsidRPr="00564FB8">
        <w:rPr>
          <w:rFonts w:cs="ITCCharterCom-Regular"/>
          <w:sz w:val="22"/>
          <w:lang w:val="en-US"/>
        </w:rPr>
        <w:t xml:space="preserve"> </w:t>
      </w:r>
      <w:r w:rsidR="00E04E22">
        <w:rPr>
          <w:rFonts w:cs="ITCCharterCom-Regular"/>
          <w:sz w:val="22"/>
          <w:lang w:val="en-US"/>
        </w:rPr>
        <w:t xml:space="preserve">given its geographical diversity, multiple regulators and </w:t>
      </w:r>
      <w:r w:rsidR="004F1F7A" w:rsidRPr="00564FB8">
        <w:rPr>
          <w:rFonts w:cs="ITCCharterCom-Regular"/>
          <w:sz w:val="22"/>
          <w:lang w:val="en-US"/>
        </w:rPr>
        <w:t xml:space="preserve">multiple emerging currencies etc. </w:t>
      </w:r>
    </w:p>
    <w:p w:rsidR="00573427" w:rsidRPr="00564FB8" w:rsidRDefault="00573427" w:rsidP="00BD2197">
      <w:pPr>
        <w:spacing w:line="240" w:lineRule="auto"/>
        <w:rPr>
          <w:bCs/>
          <w:sz w:val="22"/>
          <w:lang w:val="en-US"/>
        </w:rPr>
      </w:pPr>
    </w:p>
    <w:p w:rsidR="000E4909" w:rsidRDefault="000E4909" w:rsidP="00BD2197">
      <w:pPr>
        <w:spacing w:line="240" w:lineRule="auto"/>
        <w:rPr>
          <w:bCs/>
          <w:sz w:val="22"/>
          <w:lang w:val="en-US"/>
        </w:rPr>
      </w:pPr>
      <w:r>
        <w:rPr>
          <w:bCs/>
          <w:sz w:val="22"/>
          <w:lang w:val="en-US"/>
        </w:rPr>
        <w:t xml:space="preserve">54% of respondents indicated </w:t>
      </w:r>
      <w:r w:rsidR="00E04E22">
        <w:rPr>
          <w:bCs/>
          <w:sz w:val="22"/>
          <w:lang w:val="en-US"/>
        </w:rPr>
        <w:t>being dis</w:t>
      </w:r>
      <w:r>
        <w:rPr>
          <w:bCs/>
          <w:sz w:val="22"/>
          <w:lang w:val="en-US"/>
        </w:rPr>
        <w:t>satisfied with current talent management in their organisations</w:t>
      </w:r>
      <w:r w:rsidR="00B3356C">
        <w:rPr>
          <w:bCs/>
          <w:sz w:val="22"/>
          <w:lang w:val="en-US"/>
        </w:rPr>
        <w:t xml:space="preserve">. </w:t>
      </w:r>
      <w:r w:rsidR="00855A36">
        <w:rPr>
          <w:bCs/>
          <w:sz w:val="22"/>
          <w:lang w:val="en-US"/>
        </w:rPr>
        <w:t xml:space="preserve">This </w:t>
      </w:r>
      <w:r w:rsidR="0081210F">
        <w:rPr>
          <w:bCs/>
          <w:sz w:val="22"/>
          <w:lang w:val="en-US"/>
        </w:rPr>
        <w:t>i</w:t>
      </w:r>
      <w:r w:rsidR="00E04E22">
        <w:rPr>
          <w:bCs/>
          <w:sz w:val="22"/>
          <w:lang w:val="en-US"/>
        </w:rPr>
        <w:t xml:space="preserve">s </w:t>
      </w:r>
      <w:r w:rsidR="00855A36">
        <w:rPr>
          <w:bCs/>
          <w:sz w:val="22"/>
          <w:lang w:val="en-US"/>
        </w:rPr>
        <w:t>compounded by rapid growth and cross</w:t>
      </w:r>
      <w:r w:rsidR="008B018E">
        <w:rPr>
          <w:bCs/>
          <w:sz w:val="22"/>
          <w:lang w:val="en-US"/>
        </w:rPr>
        <w:t>-</w:t>
      </w:r>
      <w:r w:rsidR="00855A36">
        <w:rPr>
          <w:bCs/>
          <w:sz w:val="22"/>
          <w:lang w:val="en-US"/>
        </w:rPr>
        <w:t xml:space="preserve">border expansion </w:t>
      </w:r>
      <w:r w:rsidR="00E04E22">
        <w:rPr>
          <w:bCs/>
          <w:sz w:val="22"/>
          <w:lang w:val="en-US"/>
        </w:rPr>
        <w:t>regionally</w:t>
      </w:r>
      <w:r w:rsidR="00855A36">
        <w:rPr>
          <w:bCs/>
          <w:sz w:val="22"/>
          <w:lang w:val="en-US"/>
        </w:rPr>
        <w:t xml:space="preserve">. </w:t>
      </w:r>
      <w:r w:rsidR="0081210F">
        <w:rPr>
          <w:bCs/>
          <w:sz w:val="22"/>
          <w:lang w:val="en-US"/>
        </w:rPr>
        <w:t>The demand for appropriate</w:t>
      </w:r>
      <w:r w:rsidR="008B018E">
        <w:rPr>
          <w:bCs/>
          <w:sz w:val="22"/>
          <w:lang w:val="en-US"/>
        </w:rPr>
        <w:t>ly</w:t>
      </w:r>
      <w:r w:rsidR="00855A36">
        <w:rPr>
          <w:bCs/>
          <w:sz w:val="22"/>
          <w:lang w:val="en-US"/>
        </w:rPr>
        <w:t xml:space="preserve"> skilled personnel outstrips the supply</w:t>
      </w:r>
      <w:r w:rsidR="0081210F">
        <w:rPr>
          <w:bCs/>
          <w:sz w:val="22"/>
          <w:lang w:val="en-US"/>
        </w:rPr>
        <w:t xml:space="preserve"> available as a result, and this </w:t>
      </w:r>
      <w:r w:rsidR="00834156">
        <w:rPr>
          <w:bCs/>
          <w:sz w:val="22"/>
          <w:lang w:val="en-US"/>
        </w:rPr>
        <w:t xml:space="preserve">is </w:t>
      </w:r>
      <w:r w:rsidR="0081210F">
        <w:rPr>
          <w:bCs/>
          <w:sz w:val="22"/>
          <w:lang w:val="en-US"/>
        </w:rPr>
        <w:t xml:space="preserve">especially so in Asian countries with less sophistical finance sectors and companies </w:t>
      </w:r>
      <w:r w:rsidR="0081210F">
        <w:rPr>
          <w:bCs/>
          <w:sz w:val="22"/>
          <w:lang w:val="en-US"/>
        </w:rPr>
        <w:lastRenderedPageBreak/>
        <w:t>with smaller corporate treasury teams.</w:t>
      </w:r>
      <w:r w:rsidR="00855A36">
        <w:rPr>
          <w:bCs/>
          <w:sz w:val="22"/>
          <w:lang w:val="en-US"/>
        </w:rPr>
        <w:t xml:space="preserve"> </w:t>
      </w:r>
      <w:r w:rsidR="0081210F">
        <w:rPr>
          <w:bCs/>
          <w:sz w:val="22"/>
          <w:lang w:val="en-US"/>
        </w:rPr>
        <w:t xml:space="preserve">As </w:t>
      </w:r>
      <w:r w:rsidR="00855A36">
        <w:rPr>
          <w:bCs/>
          <w:sz w:val="22"/>
          <w:lang w:val="en-US"/>
        </w:rPr>
        <w:t xml:space="preserve">risks </w:t>
      </w:r>
      <w:r w:rsidR="008B018E">
        <w:rPr>
          <w:bCs/>
          <w:sz w:val="22"/>
          <w:lang w:val="en-US"/>
        </w:rPr>
        <w:t xml:space="preserve">become more </w:t>
      </w:r>
      <w:r w:rsidR="00855A36">
        <w:rPr>
          <w:bCs/>
          <w:sz w:val="22"/>
          <w:lang w:val="en-US"/>
        </w:rPr>
        <w:t>complex, there is also a gr</w:t>
      </w:r>
      <w:r w:rsidR="0081210F">
        <w:rPr>
          <w:bCs/>
          <w:sz w:val="22"/>
          <w:lang w:val="en-US"/>
        </w:rPr>
        <w:t xml:space="preserve">owing need for greater skill </w:t>
      </w:r>
      <w:proofErr w:type="spellStart"/>
      <w:r w:rsidR="0081210F">
        <w:rPr>
          <w:bCs/>
          <w:sz w:val="22"/>
          <w:lang w:val="en-US"/>
        </w:rPr>
        <w:t>speci</w:t>
      </w:r>
      <w:r w:rsidR="00AC44F3">
        <w:rPr>
          <w:bCs/>
          <w:sz w:val="22"/>
          <w:lang w:val="en-US"/>
        </w:rPr>
        <w:t>a</w:t>
      </w:r>
      <w:r w:rsidR="0081210F">
        <w:rPr>
          <w:bCs/>
          <w:sz w:val="22"/>
          <w:lang w:val="en-US"/>
        </w:rPr>
        <w:t>li</w:t>
      </w:r>
      <w:r w:rsidR="008B018E">
        <w:rPr>
          <w:bCs/>
          <w:sz w:val="22"/>
          <w:lang w:val="en-US"/>
        </w:rPr>
        <w:t>s</w:t>
      </w:r>
      <w:r w:rsidR="0081210F">
        <w:rPr>
          <w:bCs/>
          <w:sz w:val="22"/>
          <w:lang w:val="en-US"/>
        </w:rPr>
        <w:t>ation</w:t>
      </w:r>
      <w:proofErr w:type="spellEnd"/>
      <w:r w:rsidR="00855A36">
        <w:rPr>
          <w:bCs/>
          <w:sz w:val="22"/>
          <w:lang w:val="en-US"/>
        </w:rPr>
        <w:t xml:space="preserve">. </w:t>
      </w:r>
    </w:p>
    <w:p w:rsidR="00155115" w:rsidRDefault="00155115" w:rsidP="00BD2197">
      <w:pPr>
        <w:spacing w:line="240" w:lineRule="auto"/>
        <w:rPr>
          <w:bCs/>
          <w:sz w:val="22"/>
          <w:lang w:val="en-US"/>
        </w:rPr>
      </w:pPr>
    </w:p>
    <w:p w:rsidR="00B3356C" w:rsidRPr="00587ED3" w:rsidRDefault="00B3356C" w:rsidP="00BD2197">
      <w:pPr>
        <w:spacing w:line="240" w:lineRule="auto"/>
        <w:rPr>
          <w:b/>
          <w:bCs/>
          <w:sz w:val="22"/>
          <w:lang w:val="en-US"/>
        </w:rPr>
      </w:pPr>
      <w:r w:rsidRPr="00587ED3">
        <w:rPr>
          <w:b/>
          <w:bCs/>
          <w:sz w:val="22"/>
          <w:lang w:val="en-US"/>
        </w:rPr>
        <w:t xml:space="preserve">Cash </w:t>
      </w:r>
      <w:r w:rsidR="008B018E">
        <w:rPr>
          <w:b/>
          <w:bCs/>
          <w:sz w:val="22"/>
          <w:lang w:val="en-US"/>
        </w:rPr>
        <w:t>m</w:t>
      </w:r>
      <w:r w:rsidRPr="00587ED3">
        <w:rPr>
          <w:b/>
          <w:bCs/>
          <w:sz w:val="22"/>
          <w:lang w:val="en-US"/>
        </w:rPr>
        <w:t>anagement</w:t>
      </w:r>
    </w:p>
    <w:p w:rsidR="004F1F7A" w:rsidRPr="004F1F7A" w:rsidRDefault="00B3356C" w:rsidP="00BD2197">
      <w:pPr>
        <w:spacing w:line="240" w:lineRule="auto"/>
        <w:rPr>
          <w:bCs/>
          <w:sz w:val="22"/>
        </w:rPr>
      </w:pPr>
      <w:r>
        <w:rPr>
          <w:bCs/>
          <w:sz w:val="22"/>
          <w:lang w:val="en-US"/>
        </w:rPr>
        <w:t xml:space="preserve">Cash </w:t>
      </w:r>
      <w:r w:rsidR="008D1014">
        <w:rPr>
          <w:bCs/>
          <w:sz w:val="22"/>
          <w:lang w:val="en-US"/>
        </w:rPr>
        <w:t>management w</w:t>
      </w:r>
      <w:r w:rsidR="00855A36">
        <w:rPr>
          <w:bCs/>
          <w:sz w:val="22"/>
          <w:lang w:val="en-US"/>
        </w:rPr>
        <w:t>as</w:t>
      </w:r>
      <w:r w:rsidR="008D1014">
        <w:rPr>
          <w:bCs/>
          <w:sz w:val="22"/>
          <w:lang w:val="en-US"/>
        </w:rPr>
        <w:t xml:space="preserve"> found to be one of the</w:t>
      </w:r>
      <w:r>
        <w:rPr>
          <w:bCs/>
          <w:sz w:val="22"/>
          <w:lang w:val="en-US"/>
        </w:rPr>
        <w:t xml:space="preserve"> two mo</w:t>
      </w:r>
      <w:r w:rsidR="0081210F">
        <w:rPr>
          <w:bCs/>
          <w:sz w:val="22"/>
          <w:lang w:val="en-US"/>
        </w:rPr>
        <w:t>st important treasury a</w:t>
      </w:r>
      <w:r w:rsidR="00AC44F3">
        <w:rPr>
          <w:bCs/>
          <w:sz w:val="22"/>
          <w:lang w:val="en-US"/>
        </w:rPr>
        <w:t>ctivities</w:t>
      </w:r>
      <w:r w:rsidR="008B018E">
        <w:rPr>
          <w:bCs/>
          <w:sz w:val="22"/>
          <w:lang w:val="en-US"/>
        </w:rPr>
        <w:t>,</w:t>
      </w:r>
      <w:r>
        <w:rPr>
          <w:bCs/>
          <w:sz w:val="22"/>
          <w:lang w:val="en-US"/>
        </w:rPr>
        <w:t xml:space="preserve"> indicating that treasurers are continuing to focus on </w:t>
      </w:r>
      <w:proofErr w:type="spellStart"/>
      <w:r w:rsidR="00AC44F3">
        <w:rPr>
          <w:bCs/>
          <w:sz w:val="22"/>
          <w:lang w:val="en-US"/>
        </w:rPr>
        <w:t>optimi</w:t>
      </w:r>
      <w:r w:rsidR="008B018E">
        <w:rPr>
          <w:bCs/>
          <w:sz w:val="22"/>
          <w:lang w:val="en-US"/>
        </w:rPr>
        <w:t>s</w:t>
      </w:r>
      <w:r w:rsidR="00AC44F3">
        <w:rPr>
          <w:bCs/>
          <w:sz w:val="22"/>
          <w:lang w:val="en-US"/>
        </w:rPr>
        <w:t>ing</w:t>
      </w:r>
      <w:proofErr w:type="spellEnd"/>
      <w:r w:rsidR="00AC44F3">
        <w:rPr>
          <w:bCs/>
          <w:sz w:val="22"/>
          <w:lang w:val="en-US"/>
        </w:rPr>
        <w:t xml:space="preserve"> their cash positions</w:t>
      </w:r>
      <w:r>
        <w:rPr>
          <w:bCs/>
          <w:sz w:val="22"/>
          <w:lang w:val="en-US"/>
        </w:rPr>
        <w:t xml:space="preserve"> to </w:t>
      </w:r>
      <w:r w:rsidR="00D63AF0">
        <w:rPr>
          <w:bCs/>
          <w:sz w:val="22"/>
          <w:lang w:val="en-US"/>
        </w:rPr>
        <w:t xml:space="preserve">insulate </w:t>
      </w:r>
      <w:r>
        <w:rPr>
          <w:bCs/>
          <w:sz w:val="22"/>
          <w:lang w:val="en-US"/>
        </w:rPr>
        <w:t>the</w:t>
      </w:r>
      <w:r w:rsidR="00D63AF0">
        <w:rPr>
          <w:bCs/>
          <w:sz w:val="22"/>
          <w:lang w:val="en-US"/>
        </w:rPr>
        <w:t>ir</w:t>
      </w:r>
      <w:r>
        <w:rPr>
          <w:bCs/>
          <w:sz w:val="22"/>
          <w:lang w:val="en-US"/>
        </w:rPr>
        <w:t xml:space="preserve"> business</w:t>
      </w:r>
      <w:r w:rsidR="00AC44F3">
        <w:rPr>
          <w:bCs/>
          <w:sz w:val="22"/>
          <w:lang w:val="en-US"/>
        </w:rPr>
        <w:t>es</w:t>
      </w:r>
      <w:r>
        <w:rPr>
          <w:bCs/>
          <w:sz w:val="22"/>
          <w:lang w:val="en-US"/>
        </w:rPr>
        <w:t xml:space="preserve"> in volatile times. It is significant, </w:t>
      </w:r>
      <w:r w:rsidR="004042F9">
        <w:rPr>
          <w:bCs/>
          <w:sz w:val="22"/>
          <w:lang w:val="en-US"/>
        </w:rPr>
        <w:t>however,</w:t>
      </w:r>
      <w:r>
        <w:rPr>
          <w:bCs/>
          <w:sz w:val="22"/>
          <w:lang w:val="en-US"/>
        </w:rPr>
        <w:t xml:space="preserve"> </w:t>
      </w:r>
      <w:r w:rsidR="00AC44F3">
        <w:rPr>
          <w:bCs/>
          <w:sz w:val="22"/>
          <w:lang w:val="en-US"/>
        </w:rPr>
        <w:t xml:space="preserve">that </w:t>
      </w:r>
      <w:r>
        <w:rPr>
          <w:bCs/>
          <w:sz w:val="22"/>
          <w:lang w:val="en-US"/>
        </w:rPr>
        <w:t>despite the importance placed on cash</w:t>
      </w:r>
      <w:r w:rsidR="001B6BC7">
        <w:rPr>
          <w:bCs/>
          <w:sz w:val="22"/>
          <w:lang w:val="en-US"/>
        </w:rPr>
        <w:t xml:space="preserve"> management</w:t>
      </w:r>
      <w:r w:rsidR="00E01071">
        <w:rPr>
          <w:bCs/>
          <w:sz w:val="22"/>
          <w:lang w:val="en-US"/>
        </w:rPr>
        <w:t>,</w:t>
      </w:r>
      <w:r>
        <w:rPr>
          <w:bCs/>
          <w:sz w:val="22"/>
          <w:lang w:val="en-US"/>
        </w:rPr>
        <w:t xml:space="preserve"> </w:t>
      </w:r>
      <w:r w:rsidR="004F1F7A">
        <w:rPr>
          <w:bCs/>
          <w:sz w:val="22"/>
          <w:lang w:val="en-US"/>
        </w:rPr>
        <w:t>less than one-third of respondents surveyed</w:t>
      </w:r>
      <w:r w:rsidR="004F1F7A" w:rsidRPr="009A15D9">
        <w:rPr>
          <w:bCs/>
          <w:sz w:val="22"/>
          <w:lang w:val="en-US"/>
        </w:rPr>
        <w:t xml:space="preserve"> have real</w:t>
      </w:r>
      <w:r w:rsidR="008B018E">
        <w:rPr>
          <w:bCs/>
          <w:sz w:val="22"/>
          <w:lang w:val="en-US"/>
        </w:rPr>
        <w:t>-</w:t>
      </w:r>
      <w:r w:rsidR="004F1F7A" w:rsidRPr="009A15D9">
        <w:rPr>
          <w:bCs/>
          <w:sz w:val="22"/>
          <w:lang w:val="en-US"/>
        </w:rPr>
        <w:t>time information on their cash position</w:t>
      </w:r>
      <w:r w:rsidR="00AC44F3">
        <w:rPr>
          <w:bCs/>
          <w:sz w:val="22"/>
          <w:lang w:val="en-US"/>
        </w:rPr>
        <w:t xml:space="preserve">s. This </w:t>
      </w:r>
      <w:r w:rsidR="004F1F7A">
        <w:rPr>
          <w:bCs/>
          <w:sz w:val="22"/>
          <w:lang w:val="en-US"/>
        </w:rPr>
        <w:t xml:space="preserve">could </w:t>
      </w:r>
      <w:r w:rsidR="006D7781">
        <w:rPr>
          <w:bCs/>
          <w:sz w:val="22"/>
          <w:lang w:val="en-US"/>
        </w:rPr>
        <w:t xml:space="preserve">limit </w:t>
      </w:r>
      <w:r w:rsidR="004F1F7A" w:rsidRPr="009A15D9">
        <w:rPr>
          <w:bCs/>
          <w:sz w:val="22"/>
          <w:lang w:val="en-US"/>
        </w:rPr>
        <w:t xml:space="preserve">the ability of </w:t>
      </w:r>
      <w:r w:rsidR="00AC44F3">
        <w:rPr>
          <w:bCs/>
          <w:sz w:val="22"/>
          <w:lang w:val="en-US"/>
        </w:rPr>
        <w:t>treasurers in</w:t>
      </w:r>
      <w:r w:rsidR="004F1F7A" w:rsidRPr="009A15D9">
        <w:rPr>
          <w:bCs/>
          <w:sz w:val="22"/>
          <w:lang w:val="en-US"/>
        </w:rPr>
        <w:t xml:space="preserve"> identify</w:t>
      </w:r>
      <w:r w:rsidR="00AC44F3">
        <w:rPr>
          <w:bCs/>
          <w:sz w:val="22"/>
          <w:lang w:val="en-US"/>
        </w:rPr>
        <w:t>ing</w:t>
      </w:r>
      <w:r w:rsidR="004F1F7A" w:rsidRPr="009A15D9">
        <w:rPr>
          <w:bCs/>
          <w:sz w:val="22"/>
          <w:lang w:val="en-US"/>
        </w:rPr>
        <w:t xml:space="preserve"> potential financial needs or opportunities</w:t>
      </w:r>
      <w:r w:rsidR="006D7781">
        <w:rPr>
          <w:bCs/>
          <w:sz w:val="22"/>
          <w:lang w:val="en-US"/>
        </w:rPr>
        <w:t xml:space="preserve"> on a timely basis</w:t>
      </w:r>
      <w:r w:rsidR="004F1F7A">
        <w:rPr>
          <w:bCs/>
          <w:sz w:val="22"/>
          <w:lang w:val="en-US"/>
        </w:rPr>
        <w:t>.</w:t>
      </w:r>
    </w:p>
    <w:p w:rsidR="004F1F7A" w:rsidRDefault="004F1F7A" w:rsidP="00BD2197">
      <w:pPr>
        <w:spacing w:line="240" w:lineRule="auto"/>
        <w:rPr>
          <w:bCs/>
          <w:sz w:val="22"/>
          <w:lang w:val="en-US"/>
        </w:rPr>
      </w:pPr>
    </w:p>
    <w:p w:rsidR="00B3356C" w:rsidRDefault="00B3356C" w:rsidP="00BD2197">
      <w:pPr>
        <w:spacing w:line="240" w:lineRule="auto"/>
        <w:rPr>
          <w:bCs/>
          <w:sz w:val="22"/>
          <w:lang w:val="en-US"/>
        </w:rPr>
      </w:pPr>
      <w:r>
        <w:rPr>
          <w:bCs/>
          <w:sz w:val="22"/>
          <w:lang w:val="en-US"/>
        </w:rPr>
        <w:t xml:space="preserve">52% of companies surveyed </w:t>
      </w:r>
      <w:r w:rsidR="006D7781">
        <w:rPr>
          <w:bCs/>
          <w:sz w:val="22"/>
          <w:lang w:val="en-US"/>
        </w:rPr>
        <w:t>did not have confidence in</w:t>
      </w:r>
      <w:r>
        <w:rPr>
          <w:bCs/>
          <w:sz w:val="22"/>
          <w:lang w:val="en-US"/>
        </w:rPr>
        <w:t xml:space="preserve"> their cash flow forecasting processes. 32% of companies surveyed were not satisfied with their cash visibility</w:t>
      </w:r>
      <w:r w:rsidR="008B018E">
        <w:rPr>
          <w:bCs/>
          <w:sz w:val="22"/>
          <w:lang w:val="en-US"/>
        </w:rPr>
        <w:t>,</w:t>
      </w:r>
      <w:r>
        <w:rPr>
          <w:bCs/>
          <w:sz w:val="22"/>
          <w:lang w:val="en-US"/>
        </w:rPr>
        <w:t xml:space="preserve"> and 28%</w:t>
      </w:r>
      <w:r w:rsidR="008B018E">
        <w:rPr>
          <w:bCs/>
          <w:sz w:val="22"/>
          <w:lang w:val="en-US"/>
        </w:rPr>
        <w:t xml:space="preserve"> were</w:t>
      </w:r>
      <w:r>
        <w:rPr>
          <w:bCs/>
          <w:sz w:val="22"/>
          <w:lang w:val="en-US"/>
        </w:rPr>
        <w:t xml:space="preserve"> not satisfied with </w:t>
      </w:r>
      <w:r w:rsidR="00924D8A">
        <w:rPr>
          <w:bCs/>
          <w:sz w:val="22"/>
          <w:lang w:val="en-US"/>
        </w:rPr>
        <w:t xml:space="preserve">their cash </w:t>
      </w:r>
      <w:proofErr w:type="spellStart"/>
      <w:r w:rsidR="00924D8A">
        <w:rPr>
          <w:bCs/>
          <w:sz w:val="22"/>
          <w:lang w:val="en-US"/>
        </w:rPr>
        <w:t>centralisation</w:t>
      </w:r>
      <w:proofErr w:type="spellEnd"/>
      <w:r w:rsidR="00924D8A">
        <w:rPr>
          <w:bCs/>
          <w:sz w:val="22"/>
          <w:lang w:val="en-US"/>
        </w:rPr>
        <w:t xml:space="preserve">. </w:t>
      </w:r>
    </w:p>
    <w:p w:rsidR="00924D8A" w:rsidRDefault="00924D8A" w:rsidP="00BD2197">
      <w:pPr>
        <w:spacing w:line="240" w:lineRule="auto"/>
        <w:rPr>
          <w:bCs/>
          <w:sz w:val="22"/>
          <w:lang w:val="en-US"/>
        </w:rPr>
      </w:pPr>
    </w:p>
    <w:p w:rsidR="00924D8A" w:rsidRDefault="00924D8A" w:rsidP="00924D8A">
      <w:pPr>
        <w:spacing w:line="240" w:lineRule="auto"/>
        <w:rPr>
          <w:bCs/>
          <w:sz w:val="22"/>
          <w:lang w:val="en-US"/>
        </w:rPr>
      </w:pPr>
      <w:r>
        <w:rPr>
          <w:bCs/>
          <w:sz w:val="22"/>
          <w:lang w:val="en-US"/>
        </w:rPr>
        <w:t xml:space="preserve">Said Chen </w:t>
      </w:r>
      <w:proofErr w:type="spellStart"/>
      <w:r>
        <w:rPr>
          <w:bCs/>
          <w:sz w:val="22"/>
          <w:lang w:val="en-US"/>
        </w:rPr>
        <w:t>Voon</w:t>
      </w:r>
      <w:proofErr w:type="spellEnd"/>
      <w:r>
        <w:rPr>
          <w:bCs/>
          <w:sz w:val="22"/>
          <w:lang w:val="en-US"/>
        </w:rPr>
        <w:t xml:space="preserve"> Hoe, Accounting Advisory, Reporting and Corporate Treasury Lead, PwC Singapore:</w:t>
      </w:r>
    </w:p>
    <w:p w:rsidR="00B3356C" w:rsidRDefault="00B3356C" w:rsidP="00BD2197">
      <w:pPr>
        <w:spacing w:line="240" w:lineRule="auto"/>
        <w:rPr>
          <w:bCs/>
          <w:sz w:val="22"/>
          <w:lang w:val="en-US"/>
        </w:rPr>
      </w:pPr>
    </w:p>
    <w:p w:rsidR="00924D8A" w:rsidRDefault="00924D8A" w:rsidP="009571EE">
      <w:pPr>
        <w:spacing w:line="240" w:lineRule="auto"/>
        <w:ind w:left="426"/>
        <w:rPr>
          <w:bCs/>
          <w:sz w:val="22"/>
          <w:lang w:val="en-US"/>
        </w:rPr>
      </w:pPr>
      <w:r>
        <w:rPr>
          <w:bCs/>
          <w:sz w:val="22"/>
          <w:lang w:val="en-US"/>
        </w:rPr>
        <w:t>“</w:t>
      </w:r>
      <w:r w:rsidR="00AC44F3">
        <w:rPr>
          <w:bCs/>
          <w:sz w:val="22"/>
          <w:lang w:val="en-US"/>
        </w:rPr>
        <w:t>The fact that there is this mis</w:t>
      </w:r>
      <w:r>
        <w:rPr>
          <w:bCs/>
          <w:sz w:val="22"/>
          <w:lang w:val="en-US"/>
        </w:rPr>
        <w:t xml:space="preserve">match between </w:t>
      </w:r>
      <w:r w:rsidR="00795D1F">
        <w:rPr>
          <w:bCs/>
          <w:sz w:val="22"/>
          <w:lang w:val="en-US"/>
        </w:rPr>
        <w:t xml:space="preserve">the importance placed on </w:t>
      </w:r>
      <w:r w:rsidR="006D7781">
        <w:rPr>
          <w:bCs/>
          <w:sz w:val="22"/>
          <w:lang w:val="en-US"/>
        </w:rPr>
        <w:t>cash management</w:t>
      </w:r>
      <w:r w:rsidR="0003442D">
        <w:rPr>
          <w:bCs/>
          <w:sz w:val="22"/>
          <w:lang w:val="en-US"/>
        </w:rPr>
        <w:t xml:space="preserve"> and the confidence level of treasurers in their cash forecasting, visibility and </w:t>
      </w:r>
      <w:proofErr w:type="spellStart"/>
      <w:r w:rsidR="0003442D">
        <w:rPr>
          <w:bCs/>
          <w:sz w:val="22"/>
          <w:lang w:val="en-US"/>
        </w:rPr>
        <w:t>centralisation</w:t>
      </w:r>
      <w:proofErr w:type="spellEnd"/>
      <w:r w:rsidR="0003442D">
        <w:rPr>
          <w:bCs/>
          <w:sz w:val="22"/>
          <w:lang w:val="en-US"/>
        </w:rPr>
        <w:t xml:space="preserve"> processes show </w:t>
      </w:r>
      <w:r w:rsidR="00AC44F3">
        <w:rPr>
          <w:bCs/>
          <w:sz w:val="22"/>
          <w:lang w:val="en-US"/>
        </w:rPr>
        <w:t>a clear need</w:t>
      </w:r>
      <w:r w:rsidR="0003442D">
        <w:rPr>
          <w:bCs/>
          <w:sz w:val="22"/>
          <w:lang w:val="en-US"/>
        </w:rPr>
        <w:t xml:space="preserve"> for businesses </w:t>
      </w:r>
      <w:r w:rsidR="005B7C74">
        <w:rPr>
          <w:bCs/>
          <w:sz w:val="22"/>
          <w:lang w:val="en-US"/>
        </w:rPr>
        <w:t xml:space="preserve">to </w:t>
      </w:r>
      <w:r w:rsidR="00095ECA">
        <w:rPr>
          <w:bCs/>
          <w:sz w:val="22"/>
          <w:lang w:val="en-US"/>
        </w:rPr>
        <w:t>enhance their capabilities in these areas.</w:t>
      </w:r>
      <w:r w:rsidR="005B7C74">
        <w:rPr>
          <w:bCs/>
          <w:sz w:val="22"/>
          <w:lang w:val="en-US"/>
        </w:rPr>
        <w:t xml:space="preserve"> </w:t>
      </w:r>
    </w:p>
    <w:p w:rsidR="00095ECA" w:rsidRDefault="00095ECA" w:rsidP="009571EE">
      <w:pPr>
        <w:spacing w:line="240" w:lineRule="auto"/>
        <w:ind w:left="426"/>
        <w:rPr>
          <w:bCs/>
          <w:sz w:val="22"/>
          <w:lang w:val="en-US"/>
        </w:rPr>
      </w:pPr>
    </w:p>
    <w:p w:rsidR="00095ECA" w:rsidRDefault="00235144" w:rsidP="009571EE">
      <w:pPr>
        <w:spacing w:line="240" w:lineRule="auto"/>
        <w:ind w:left="426"/>
        <w:rPr>
          <w:bCs/>
          <w:sz w:val="22"/>
          <w:lang w:val="en-US"/>
        </w:rPr>
      </w:pPr>
      <w:r>
        <w:rPr>
          <w:bCs/>
          <w:sz w:val="22"/>
          <w:lang w:val="en-US"/>
        </w:rPr>
        <w:t>“Investing in</w:t>
      </w:r>
      <w:r w:rsidR="00AC44F3">
        <w:rPr>
          <w:bCs/>
          <w:sz w:val="22"/>
          <w:lang w:val="en-US"/>
        </w:rPr>
        <w:t xml:space="preserve"> appropriate </w:t>
      </w:r>
      <w:r w:rsidR="00095ECA">
        <w:rPr>
          <w:bCs/>
          <w:sz w:val="22"/>
          <w:lang w:val="en-US"/>
        </w:rPr>
        <w:t>technology, such as treasury management systems</w:t>
      </w:r>
      <w:r w:rsidR="004F1F7A">
        <w:rPr>
          <w:bCs/>
          <w:sz w:val="22"/>
          <w:lang w:val="en-US"/>
        </w:rPr>
        <w:t xml:space="preserve"> and connectivity to banking platform</w:t>
      </w:r>
      <w:r w:rsidR="006D7781">
        <w:rPr>
          <w:bCs/>
          <w:sz w:val="22"/>
          <w:lang w:val="en-US"/>
        </w:rPr>
        <w:t>s</w:t>
      </w:r>
      <w:r w:rsidR="00095ECA">
        <w:rPr>
          <w:bCs/>
          <w:sz w:val="22"/>
          <w:lang w:val="en-US"/>
        </w:rPr>
        <w:t>, is one way this can be achieved effec</w:t>
      </w:r>
      <w:r>
        <w:rPr>
          <w:bCs/>
          <w:sz w:val="22"/>
          <w:lang w:val="en-US"/>
        </w:rPr>
        <w:t>tively and in a sustainable way. F</w:t>
      </w:r>
      <w:r w:rsidR="00095ECA">
        <w:rPr>
          <w:bCs/>
          <w:sz w:val="22"/>
          <w:lang w:val="en-US"/>
        </w:rPr>
        <w:t xml:space="preserve">or many businesses, </w:t>
      </w:r>
      <w:r>
        <w:rPr>
          <w:bCs/>
          <w:sz w:val="22"/>
          <w:lang w:val="en-US"/>
        </w:rPr>
        <w:t xml:space="preserve">however, </w:t>
      </w:r>
      <w:r w:rsidR="00095ECA">
        <w:rPr>
          <w:bCs/>
          <w:sz w:val="22"/>
          <w:lang w:val="en-US"/>
        </w:rPr>
        <w:t xml:space="preserve">the </w:t>
      </w:r>
      <w:r w:rsidR="005B7C74">
        <w:rPr>
          <w:bCs/>
          <w:sz w:val="22"/>
          <w:lang w:val="en-US"/>
        </w:rPr>
        <w:t xml:space="preserve">initial </w:t>
      </w:r>
      <w:r w:rsidR="00095ECA">
        <w:rPr>
          <w:bCs/>
          <w:sz w:val="22"/>
          <w:lang w:val="en-US"/>
        </w:rPr>
        <w:t xml:space="preserve">investment cost </w:t>
      </w:r>
      <w:r w:rsidR="005B7C74">
        <w:rPr>
          <w:bCs/>
          <w:sz w:val="22"/>
          <w:lang w:val="en-US"/>
        </w:rPr>
        <w:t xml:space="preserve">needs to be evaluated carefully against the added benefits. </w:t>
      </w:r>
      <w:r w:rsidR="00337F61">
        <w:rPr>
          <w:bCs/>
          <w:sz w:val="22"/>
          <w:lang w:val="en-US"/>
        </w:rPr>
        <w:t>The</w:t>
      </w:r>
      <w:r>
        <w:rPr>
          <w:bCs/>
          <w:sz w:val="22"/>
          <w:lang w:val="en-US"/>
        </w:rPr>
        <w:t>se</w:t>
      </w:r>
      <w:r w:rsidR="00337F61">
        <w:rPr>
          <w:bCs/>
          <w:sz w:val="22"/>
          <w:lang w:val="en-US"/>
        </w:rPr>
        <w:t xml:space="preserve"> benefits include greater visibility of cash across all operating entities in the group, more efficient receivables and payables processing and lower i</w:t>
      </w:r>
      <w:r>
        <w:rPr>
          <w:bCs/>
          <w:sz w:val="22"/>
          <w:lang w:val="en-US"/>
        </w:rPr>
        <w:t>nterest costs and banking fees.</w:t>
      </w:r>
      <w:r w:rsidR="00095ECA">
        <w:rPr>
          <w:bCs/>
          <w:sz w:val="22"/>
          <w:lang w:val="en-US"/>
        </w:rPr>
        <w:t>”</w:t>
      </w:r>
    </w:p>
    <w:p w:rsidR="006D7781" w:rsidRDefault="006D7781" w:rsidP="00964509">
      <w:pPr>
        <w:spacing w:line="240" w:lineRule="auto"/>
        <w:rPr>
          <w:b/>
          <w:bCs/>
          <w:sz w:val="22"/>
          <w:lang w:val="en-US"/>
        </w:rPr>
      </w:pPr>
    </w:p>
    <w:p w:rsidR="00964509" w:rsidRPr="00587ED3" w:rsidRDefault="001666C0" w:rsidP="00964509">
      <w:pPr>
        <w:spacing w:line="240" w:lineRule="auto"/>
        <w:rPr>
          <w:b/>
          <w:bCs/>
          <w:sz w:val="22"/>
          <w:lang w:val="en-US"/>
        </w:rPr>
      </w:pPr>
      <w:r w:rsidRPr="00587ED3">
        <w:rPr>
          <w:b/>
          <w:bCs/>
          <w:sz w:val="22"/>
          <w:lang w:val="en-US"/>
        </w:rPr>
        <w:t xml:space="preserve">Risk </w:t>
      </w:r>
      <w:r w:rsidR="008B018E">
        <w:rPr>
          <w:b/>
          <w:bCs/>
          <w:sz w:val="22"/>
          <w:lang w:val="en-US"/>
        </w:rPr>
        <w:t>m</w:t>
      </w:r>
      <w:r w:rsidRPr="00587ED3">
        <w:rPr>
          <w:b/>
          <w:bCs/>
          <w:sz w:val="22"/>
          <w:lang w:val="en-US"/>
        </w:rPr>
        <w:t>anagement</w:t>
      </w:r>
    </w:p>
    <w:p w:rsidR="001666C0" w:rsidRDefault="001666C0" w:rsidP="00964509">
      <w:pPr>
        <w:spacing w:line="240" w:lineRule="auto"/>
        <w:rPr>
          <w:bCs/>
          <w:sz w:val="22"/>
          <w:lang w:val="en-US"/>
        </w:rPr>
      </w:pPr>
      <w:r>
        <w:rPr>
          <w:bCs/>
          <w:sz w:val="22"/>
          <w:lang w:val="en-US"/>
        </w:rPr>
        <w:t xml:space="preserve">50% of respondents were not satisfied with their overall risk management processes. </w:t>
      </w:r>
      <w:r w:rsidR="00A44675">
        <w:rPr>
          <w:bCs/>
          <w:sz w:val="22"/>
          <w:lang w:val="en-US"/>
        </w:rPr>
        <w:t xml:space="preserve">The survey also found that a treasurer’s responsibilities encompass </w:t>
      </w:r>
      <w:r w:rsidR="00105B83">
        <w:rPr>
          <w:bCs/>
          <w:sz w:val="22"/>
          <w:lang w:val="en-US"/>
        </w:rPr>
        <w:t xml:space="preserve">financial risks </w:t>
      </w:r>
      <w:r w:rsidR="00105B83" w:rsidRPr="00DE6BF0">
        <w:rPr>
          <w:bCs/>
          <w:sz w:val="22"/>
          <w:lang w:val="en-US"/>
        </w:rPr>
        <w:t xml:space="preserve">rather than the wider </w:t>
      </w:r>
      <w:r w:rsidR="008B018E">
        <w:rPr>
          <w:bCs/>
          <w:sz w:val="22"/>
          <w:lang w:val="en-US"/>
        </w:rPr>
        <w:t>e</w:t>
      </w:r>
      <w:r w:rsidRPr="00DE6BF0">
        <w:rPr>
          <w:bCs/>
          <w:sz w:val="22"/>
          <w:lang w:val="en-US"/>
        </w:rPr>
        <w:t>nterprise</w:t>
      </w:r>
      <w:r w:rsidR="008B018E">
        <w:rPr>
          <w:bCs/>
          <w:sz w:val="22"/>
          <w:lang w:val="en-US"/>
        </w:rPr>
        <w:t>-w</w:t>
      </w:r>
      <w:r w:rsidR="00105B83" w:rsidRPr="00DE6BF0">
        <w:rPr>
          <w:bCs/>
          <w:sz w:val="22"/>
          <w:lang w:val="en-US"/>
        </w:rPr>
        <w:t xml:space="preserve">ide </w:t>
      </w:r>
      <w:r w:rsidR="008B018E">
        <w:rPr>
          <w:bCs/>
          <w:sz w:val="22"/>
          <w:lang w:val="en-US"/>
        </w:rPr>
        <w:t>r</w:t>
      </w:r>
      <w:r w:rsidRPr="00DE6BF0">
        <w:rPr>
          <w:bCs/>
          <w:sz w:val="22"/>
          <w:lang w:val="en-US"/>
        </w:rPr>
        <w:t>isk</w:t>
      </w:r>
      <w:r w:rsidR="00105B83" w:rsidRPr="00DE6BF0">
        <w:rPr>
          <w:bCs/>
          <w:sz w:val="22"/>
          <w:lang w:val="en-US"/>
        </w:rPr>
        <w:t>. The</w:t>
      </w:r>
      <w:r w:rsidR="00A44675" w:rsidRPr="00DE6BF0">
        <w:rPr>
          <w:bCs/>
          <w:sz w:val="22"/>
          <w:lang w:val="en-US"/>
        </w:rPr>
        <w:t xml:space="preserve"> use of sophisticated</w:t>
      </w:r>
      <w:r w:rsidRPr="00DE6BF0">
        <w:rPr>
          <w:bCs/>
          <w:sz w:val="22"/>
          <w:lang w:val="en-US"/>
        </w:rPr>
        <w:t xml:space="preserve"> risk methodology, tools and assessment</w:t>
      </w:r>
      <w:r w:rsidR="00105B83" w:rsidRPr="00DE6BF0">
        <w:rPr>
          <w:bCs/>
          <w:sz w:val="22"/>
          <w:lang w:val="en-US"/>
        </w:rPr>
        <w:t xml:space="preserve"> was also limited.</w:t>
      </w:r>
      <w:r w:rsidR="00105B83">
        <w:rPr>
          <w:bCs/>
          <w:sz w:val="22"/>
          <w:lang w:val="en-US"/>
        </w:rPr>
        <w:t xml:space="preserve"> </w:t>
      </w:r>
    </w:p>
    <w:p w:rsidR="00587ED3" w:rsidRDefault="00587ED3" w:rsidP="00964509">
      <w:pPr>
        <w:spacing w:line="240" w:lineRule="auto"/>
        <w:rPr>
          <w:bCs/>
          <w:sz w:val="22"/>
          <w:lang w:val="en-US"/>
        </w:rPr>
      </w:pPr>
    </w:p>
    <w:p w:rsidR="00587ED3" w:rsidRDefault="00587ED3" w:rsidP="00964509">
      <w:pPr>
        <w:spacing w:line="240" w:lineRule="auto"/>
        <w:rPr>
          <w:bCs/>
          <w:sz w:val="22"/>
          <w:lang w:val="en-US"/>
        </w:rPr>
      </w:pPr>
      <w:r>
        <w:rPr>
          <w:bCs/>
          <w:sz w:val="22"/>
          <w:lang w:val="en-US"/>
        </w:rPr>
        <w:t xml:space="preserve">The overall high level of dissatisfaction </w:t>
      </w:r>
      <w:r w:rsidR="00096B74">
        <w:rPr>
          <w:bCs/>
          <w:sz w:val="22"/>
          <w:lang w:val="en-US"/>
        </w:rPr>
        <w:t>highlights</w:t>
      </w:r>
      <w:r w:rsidR="00132642">
        <w:rPr>
          <w:bCs/>
          <w:sz w:val="22"/>
          <w:lang w:val="en-US"/>
        </w:rPr>
        <w:t xml:space="preserve"> opportunities for </w:t>
      </w:r>
      <w:r>
        <w:rPr>
          <w:bCs/>
          <w:sz w:val="22"/>
          <w:lang w:val="en-US"/>
        </w:rPr>
        <w:t xml:space="preserve">treasurers </w:t>
      </w:r>
      <w:r w:rsidR="00132642">
        <w:rPr>
          <w:bCs/>
          <w:sz w:val="22"/>
          <w:lang w:val="en-US"/>
        </w:rPr>
        <w:t>to take a strategic view of risks</w:t>
      </w:r>
      <w:r w:rsidR="00096B74">
        <w:rPr>
          <w:bCs/>
          <w:sz w:val="22"/>
          <w:lang w:val="en-US"/>
        </w:rPr>
        <w:t xml:space="preserve"> in</w:t>
      </w:r>
      <w:r w:rsidR="00132642">
        <w:rPr>
          <w:bCs/>
          <w:sz w:val="22"/>
          <w:lang w:val="en-US"/>
        </w:rPr>
        <w:t xml:space="preserve"> add</w:t>
      </w:r>
      <w:r w:rsidR="00096B74">
        <w:rPr>
          <w:bCs/>
          <w:sz w:val="22"/>
          <w:lang w:val="en-US"/>
        </w:rPr>
        <w:t>ing</w:t>
      </w:r>
      <w:r w:rsidR="00132642">
        <w:rPr>
          <w:bCs/>
          <w:sz w:val="22"/>
          <w:lang w:val="en-US"/>
        </w:rPr>
        <w:t xml:space="preserve"> value to the business </w:t>
      </w:r>
      <w:r w:rsidR="00096B74">
        <w:rPr>
          <w:bCs/>
          <w:sz w:val="22"/>
          <w:lang w:val="en-US"/>
        </w:rPr>
        <w:t xml:space="preserve">beyond merely </w:t>
      </w:r>
      <w:r w:rsidR="00132642">
        <w:rPr>
          <w:bCs/>
          <w:sz w:val="22"/>
          <w:lang w:val="en-US"/>
        </w:rPr>
        <w:t xml:space="preserve">listing and measuring the risks faced. </w:t>
      </w:r>
    </w:p>
    <w:p w:rsidR="00322E2A" w:rsidRDefault="00322E2A" w:rsidP="009A15D9">
      <w:pPr>
        <w:spacing w:line="240" w:lineRule="auto"/>
        <w:rPr>
          <w:b/>
          <w:bCs/>
          <w:sz w:val="22"/>
          <w:lang w:val="en-US"/>
        </w:rPr>
      </w:pPr>
    </w:p>
    <w:p w:rsidR="009A15D9" w:rsidRPr="00587ED3" w:rsidRDefault="009A15D9" w:rsidP="009A15D9">
      <w:pPr>
        <w:spacing w:line="240" w:lineRule="auto"/>
        <w:rPr>
          <w:b/>
          <w:bCs/>
          <w:sz w:val="22"/>
          <w:lang w:val="en-US"/>
        </w:rPr>
      </w:pPr>
      <w:r w:rsidRPr="00587ED3">
        <w:rPr>
          <w:b/>
          <w:bCs/>
          <w:sz w:val="22"/>
          <w:lang w:val="en-US"/>
        </w:rPr>
        <w:t xml:space="preserve">Technology: Treasury </w:t>
      </w:r>
      <w:r w:rsidR="00AA6C3E">
        <w:rPr>
          <w:b/>
          <w:bCs/>
          <w:sz w:val="22"/>
          <w:lang w:val="en-US"/>
        </w:rPr>
        <w:t>m</w:t>
      </w:r>
      <w:r w:rsidRPr="00587ED3">
        <w:rPr>
          <w:b/>
          <w:bCs/>
          <w:sz w:val="22"/>
          <w:lang w:val="en-US"/>
        </w:rPr>
        <w:t xml:space="preserve">anagement </w:t>
      </w:r>
      <w:r w:rsidR="00AA6C3E">
        <w:rPr>
          <w:b/>
          <w:bCs/>
          <w:sz w:val="22"/>
          <w:lang w:val="en-US"/>
        </w:rPr>
        <w:t>s</w:t>
      </w:r>
      <w:r w:rsidRPr="00587ED3">
        <w:rPr>
          <w:b/>
          <w:bCs/>
          <w:sz w:val="22"/>
          <w:lang w:val="en-US"/>
        </w:rPr>
        <w:t xml:space="preserve">ystems </w:t>
      </w:r>
    </w:p>
    <w:p w:rsidR="009A15D9" w:rsidRDefault="009A15D9" w:rsidP="009A15D9">
      <w:pPr>
        <w:spacing w:line="240" w:lineRule="auto"/>
        <w:rPr>
          <w:bCs/>
          <w:sz w:val="22"/>
          <w:lang w:val="en-US"/>
        </w:rPr>
      </w:pPr>
      <w:r>
        <w:rPr>
          <w:bCs/>
          <w:sz w:val="22"/>
          <w:lang w:val="en-US"/>
        </w:rPr>
        <w:t xml:space="preserve">While there are clear advantages </w:t>
      </w:r>
      <w:r w:rsidR="00096B74">
        <w:rPr>
          <w:bCs/>
          <w:sz w:val="22"/>
          <w:lang w:val="en-US"/>
        </w:rPr>
        <w:t xml:space="preserve">in </w:t>
      </w:r>
      <w:r>
        <w:rPr>
          <w:bCs/>
          <w:sz w:val="22"/>
          <w:lang w:val="en-US"/>
        </w:rPr>
        <w:t>leverag</w:t>
      </w:r>
      <w:r w:rsidR="00096B74">
        <w:rPr>
          <w:bCs/>
          <w:sz w:val="22"/>
          <w:lang w:val="en-US"/>
        </w:rPr>
        <w:t>ing</w:t>
      </w:r>
      <w:r>
        <w:rPr>
          <w:bCs/>
          <w:sz w:val="22"/>
          <w:lang w:val="en-US"/>
        </w:rPr>
        <w:t xml:space="preserve"> on treasury technology, the survey found that </w:t>
      </w:r>
      <w:r w:rsidR="00573427">
        <w:rPr>
          <w:bCs/>
          <w:sz w:val="22"/>
          <w:lang w:val="en-US"/>
        </w:rPr>
        <w:t>53</w:t>
      </w:r>
      <w:r>
        <w:rPr>
          <w:bCs/>
          <w:sz w:val="22"/>
          <w:lang w:val="en-US"/>
        </w:rPr>
        <w:t xml:space="preserve">% of </w:t>
      </w:r>
      <w:r w:rsidR="00573427">
        <w:rPr>
          <w:bCs/>
          <w:sz w:val="22"/>
          <w:lang w:val="en-US"/>
        </w:rPr>
        <w:t>companies</w:t>
      </w:r>
      <w:r>
        <w:rPr>
          <w:bCs/>
          <w:sz w:val="22"/>
          <w:lang w:val="en-US"/>
        </w:rPr>
        <w:t xml:space="preserve"> surveyed </w:t>
      </w:r>
      <w:r w:rsidR="00573427">
        <w:rPr>
          <w:bCs/>
          <w:sz w:val="22"/>
          <w:lang w:val="en-US"/>
        </w:rPr>
        <w:t>did not have a treasury management system</w:t>
      </w:r>
      <w:r w:rsidR="00AA6C3E">
        <w:rPr>
          <w:bCs/>
          <w:sz w:val="22"/>
          <w:lang w:val="en-US"/>
        </w:rPr>
        <w:t xml:space="preserve"> (TMS)</w:t>
      </w:r>
      <w:r w:rsidR="00573427">
        <w:rPr>
          <w:bCs/>
          <w:sz w:val="22"/>
          <w:lang w:val="en-US"/>
        </w:rPr>
        <w:t>.</w:t>
      </w:r>
    </w:p>
    <w:p w:rsidR="009A15D9" w:rsidRDefault="009A15D9" w:rsidP="009A15D9">
      <w:pPr>
        <w:spacing w:line="240" w:lineRule="auto"/>
        <w:rPr>
          <w:bCs/>
          <w:sz w:val="22"/>
          <w:lang w:val="en-US"/>
        </w:rPr>
      </w:pPr>
    </w:p>
    <w:p w:rsidR="009A15D9" w:rsidRDefault="009A15D9" w:rsidP="009A15D9">
      <w:pPr>
        <w:spacing w:line="240" w:lineRule="auto"/>
        <w:rPr>
          <w:bCs/>
          <w:sz w:val="22"/>
          <w:lang w:val="en-US"/>
        </w:rPr>
      </w:pPr>
      <w:r>
        <w:rPr>
          <w:bCs/>
          <w:sz w:val="22"/>
          <w:lang w:val="en-US"/>
        </w:rPr>
        <w:t xml:space="preserve">In addition, almost half of </w:t>
      </w:r>
      <w:r w:rsidR="00096B74">
        <w:rPr>
          <w:bCs/>
          <w:sz w:val="22"/>
          <w:lang w:val="en-US"/>
        </w:rPr>
        <w:t xml:space="preserve">these </w:t>
      </w:r>
      <w:r>
        <w:rPr>
          <w:bCs/>
          <w:sz w:val="22"/>
          <w:lang w:val="en-US"/>
        </w:rPr>
        <w:t xml:space="preserve">companies surveyed </w:t>
      </w:r>
      <w:r w:rsidR="00AA6C3E">
        <w:rPr>
          <w:bCs/>
          <w:sz w:val="22"/>
          <w:lang w:val="en-US"/>
        </w:rPr>
        <w:t xml:space="preserve">that </w:t>
      </w:r>
      <w:r w:rsidR="00096B74">
        <w:rPr>
          <w:bCs/>
          <w:sz w:val="22"/>
          <w:lang w:val="en-US"/>
        </w:rPr>
        <w:t xml:space="preserve">are using TMS </w:t>
      </w:r>
      <w:r>
        <w:rPr>
          <w:bCs/>
          <w:sz w:val="22"/>
          <w:lang w:val="en-US"/>
        </w:rPr>
        <w:t xml:space="preserve">expressed dissatisfaction with their current systems. </w:t>
      </w:r>
    </w:p>
    <w:p w:rsidR="009A15D9" w:rsidRDefault="009A15D9" w:rsidP="009A15D9">
      <w:pPr>
        <w:spacing w:line="240" w:lineRule="auto"/>
        <w:rPr>
          <w:bCs/>
          <w:sz w:val="22"/>
          <w:lang w:val="en-US"/>
        </w:rPr>
      </w:pPr>
    </w:p>
    <w:p w:rsidR="009A15D9" w:rsidRDefault="009A15D9" w:rsidP="009A15D9">
      <w:pPr>
        <w:spacing w:line="240" w:lineRule="auto"/>
        <w:rPr>
          <w:bCs/>
          <w:sz w:val="22"/>
          <w:lang w:val="en-US"/>
        </w:rPr>
      </w:pPr>
      <w:r>
        <w:rPr>
          <w:bCs/>
          <w:sz w:val="22"/>
          <w:lang w:val="en-US"/>
        </w:rPr>
        <w:t xml:space="preserve">Effective TMS implementation drives automation, process </w:t>
      </w:r>
      <w:r w:rsidR="005F20B2">
        <w:rPr>
          <w:bCs/>
          <w:sz w:val="22"/>
          <w:lang w:val="en-US"/>
        </w:rPr>
        <w:t xml:space="preserve">efficiency and </w:t>
      </w:r>
      <w:r w:rsidR="00322E2E">
        <w:rPr>
          <w:bCs/>
          <w:sz w:val="22"/>
          <w:lang w:val="en-US"/>
        </w:rPr>
        <w:t>operating cost</w:t>
      </w:r>
      <w:r w:rsidR="00120303">
        <w:rPr>
          <w:bCs/>
          <w:sz w:val="22"/>
          <w:lang w:val="en-US"/>
        </w:rPr>
        <w:t xml:space="preserve"> savings</w:t>
      </w:r>
      <w:r w:rsidR="005F20B2">
        <w:rPr>
          <w:bCs/>
          <w:sz w:val="22"/>
          <w:lang w:val="en-US"/>
        </w:rPr>
        <w:t>.</w:t>
      </w:r>
      <w:r w:rsidR="00322E2E">
        <w:rPr>
          <w:bCs/>
          <w:sz w:val="22"/>
          <w:lang w:val="en-US"/>
        </w:rPr>
        <w:t xml:space="preserve"> </w:t>
      </w:r>
      <w:r w:rsidR="005F20B2">
        <w:rPr>
          <w:bCs/>
          <w:sz w:val="22"/>
          <w:lang w:val="en-US"/>
        </w:rPr>
        <w:t xml:space="preserve">It also </w:t>
      </w:r>
      <w:r>
        <w:rPr>
          <w:bCs/>
          <w:sz w:val="22"/>
          <w:lang w:val="en-US"/>
        </w:rPr>
        <w:t xml:space="preserve">enhances the treasurer’s ability </w:t>
      </w:r>
      <w:r w:rsidR="005F20B2">
        <w:rPr>
          <w:bCs/>
          <w:sz w:val="22"/>
          <w:lang w:val="en-US"/>
        </w:rPr>
        <w:t>in providing a better analysis.</w:t>
      </w:r>
      <w:r>
        <w:rPr>
          <w:bCs/>
          <w:sz w:val="22"/>
          <w:lang w:val="en-US"/>
        </w:rPr>
        <w:t xml:space="preserve"> </w:t>
      </w:r>
      <w:r w:rsidR="005F20B2">
        <w:rPr>
          <w:bCs/>
          <w:sz w:val="22"/>
          <w:lang w:val="en-US"/>
        </w:rPr>
        <w:t xml:space="preserve">This in turn </w:t>
      </w:r>
      <w:r>
        <w:rPr>
          <w:bCs/>
          <w:sz w:val="22"/>
          <w:lang w:val="en-US"/>
        </w:rPr>
        <w:t>help</w:t>
      </w:r>
      <w:r w:rsidR="005F20B2">
        <w:rPr>
          <w:bCs/>
          <w:sz w:val="22"/>
          <w:lang w:val="en-US"/>
        </w:rPr>
        <w:t>s</w:t>
      </w:r>
      <w:r>
        <w:rPr>
          <w:bCs/>
          <w:sz w:val="22"/>
          <w:lang w:val="en-US"/>
        </w:rPr>
        <w:t xml:space="preserve"> in financial reporting and better decision making at a C-suite level.  </w:t>
      </w:r>
    </w:p>
    <w:p w:rsidR="009A15D9" w:rsidRDefault="009A15D9" w:rsidP="00964509">
      <w:pPr>
        <w:spacing w:line="240" w:lineRule="auto"/>
        <w:rPr>
          <w:bCs/>
          <w:sz w:val="22"/>
          <w:lang w:val="en-US"/>
        </w:rPr>
      </w:pPr>
    </w:p>
    <w:p w:rsidR="00587ED3" w:rsidRDefault="00587ED3" w:rsidP="00587ED3">
      <w:pPr>
        <w:spacing w:line="240" w:lineRule="auto"/>
        <w:rPr>
          <w:bCs/>
          <w:sz w:val="22"/>
          <w:lang w:val="en-US"/>
        </w:rPr>
      </w:pPr>
      <w:r>
        <w:rPr>
          <w:bCs/>
          <w:sz w:val="22"/>
          <w:lang w:val="en-US"/>
        </w:rPr>
        <w:lastRenderedPageBreak/>
        <w:t xml:space="preserve">Said Chen </w:t>
      </w:r>
      <w:proofErr w:type="spellStart"/>
      <w:r>
        <w:rPr>
          <w:bCs/>
          <w:sz w:val="22"/>
          <w:lang w:val="en-US"/>
        </w:rPr>
        <w:t>Voon</w:t>
      </w:r>
      <w:proofErr w:type="spellEnd"/>
      <w:r>
        <w:rPr>
          <w:bCs/>
          <w:sz w:val="22"/>
          <w:lang w:val="en-US"/>
        </w:rPr>
        <w:t xml:space="preserve"> Hoe, Accounting Advisory, Reporting and Corporate Treasury Lead, PwC Singapore:</w:t>
      </w:r>
    </w:p>
    <w:p w:rsidR="00587ED3" w:rsidRDefault="00587ED3" w:rsidP="00587ED3">
      <w:pPr>
        <w:spacing w:line="240" w:lineRule="auto"/>
        <w:rPr>
          <w:bCs/>
          <w:sz w:val="22"/>
          <w:lang w:val="en-US"/>
        </w:rPr>
      </w:pPr>
    </w:p>
    <w:p w:rsidR="00587ED3" w:rsidRDefault="00587ED3" w:rsidP="009571EE">
      <w:pPr>
        <w:spacing w:line="240" w:lineRule="auto"/>
        <w:ind w:left="426"/>
        <w:rPr>
          <w:bCs/>
          <w:sz w:val="22"/>
          <w:lang w:val="en-US"/>
        </w:rPr>
      </w:pPr>
      <w:r>
        <w:rPr>
          <w:bCs/>
          <w:sz w:val="22"/>
          <w:lang w:val="en-US"/>
        </w:rPr>
        <w:t>“Treasurers today have a strategic role to play</w:t>
      </w:r>
      <w:r w:rsidR="00AA6C3E">
        <w:rPr>
          <w:bCs/>
          <w:sz w:val="22"/>
          <w:lang w:val="en-US"/>
        </w:rPr>
        <w:t>,</w:t>
      </w:r>
      <w:r>
        <w:rPr>
          <w:bCs/>
          <w:sz w:val="22"/>
          <w:lang w:val="en-US"/>
        </w:rPr>
        <w:t xml:space="preserve"> with board level accountability and the responsibility to manage enterprise-wide risk. </w:t>
      </w:r>
    </w:p>
    <w:p w:rsidR="00587ED3" w:rsidRDefault="00587ED3" w:rsidP="009571EE">
      <w:pPr>
        <w:spacing w:line="240" w:lineRule="auto"/>
        <w:ind w:left="426"/>
        <w:rPr>
          <w:bCs/>
          <w:sz w:val="22"/>
          <w:lang w:val="en-US"/>
        </w:rPr>
      </w:pPr>
    </w:p>
    <w:p w:rsidR="00587ED3" w:rsidRDefault="00D74195" w:rsidP="009571EE">
      <w:pPr>
        <w:spacing w:line="240" w:lineRule="auto"/>
        <w:ind w:left="426"/>
        <w:rPr>
          <w:bCs/>
          <w:sz w:val="22"/>
          <w:lang w:val="en-US"/>
        </w:rPr>
      </w:pPr>
      <w:r>
        <w:rPr>
          <w:bCs/>
          <w:sz w:val="22"/>
          <w:lang w:val="en-US"/>
        </w:rPr>
        <w:t>“</w:t>
      </w:r>
      <w:r w:rsidR="00587ED3">
        <w:rPr>
          <w:bCs/>
          <w:sz w:val="22"/>
          <w:lang w:val="en-US"/>
        </w:rPr>
        <w:t xml:space="preserve">In order to fulfill this key role, the treasury function needs to incorporate </w:t>
      </w:r>
      <w:r w:rsidR="00322E2E">
        <w:rPr>
          <w:bCs/>
          <w:sz w:val="22"/>
          <w:lang w:val="en-US"/>
        </w:rPr>
        <w:t xml:space="preserve">appropriate </w:t>
      </w:r>
      <w:r w:rsidR="00587ED3">
        <w:rPr>
          <w:bCs/>
          <w:sz w:val="22"/>
          <w:lang w:val="en-US"/>
        </w:rPr>
        <w:t xml:space="preserve">technology with best practices </w:t>
      </w:r>
      <w:r w:rsidR="00322E2E">
        <w:rPr>
          <w:bCs/>
          <w:sz w:val="22"/>
          <w:lang w:val="en-US"/>
        </w:rPr>
        <w:t xml:space="preserve">for </w:t>
      </w:r>
      <w:r w:rsidR="00587ED3">
        <w:rPr>
          <w:bCs/>
          <w:sz w:val="22"/>
          <w:lang w:val="en-US"/>
        </w:rPr>
        <w:t>their core activities</w:t>
      </w:r>
      <w:r w:rsidR="00322E2E">
        <w:rPr>
          <w:bCs/>
          <w:sz w:val="22"/>
          <w:lang w:val="en-US"/>
        </w:rPr>
        <w:t>. The</w:t>
      </w:r>
      <w:r w:rsidR="00120303">
        <w:rPr>
          <w:bCs/>
          <w:sz w:val="22"/>
          <w:lang w:val="en-US"/>
        </w:rPr>
        <w:t xml:space="preserve"> CFO or treasurer</w:t>
      </w:r>
      <w:r w:rsidR="00AD12BA">
        <w:rPr>
          <w:bCs/>
          <w:sz w:val="22"/>
          <w:lang w:val="en-US"/>
        </w:rPr>
        <w:t xml:space="preserve"> can start with quick wins by undertaking cash or risk netting and bank </w:t>
      </w:r>
      <w:proofErr w:type="spellStart"/>
      <w:r w:rsidR="00AD12BA">
        <w:rPr>
          <w:bCs/>
          <w:sz w:val="22"/>
          <w:lang w:val="en-US"/>
        </w:rPr>
        <w:t>rationali</w:t>
      </w:r>
      <w:r w:rsidR="00AA6C3E">
        <w:rPr>
          <w:bCs/>
          <w:sz w:val="22"/>
          <w:lang w:val="en-US"/>
        </w:rPr>
        <w:t>s</w:t>
      </w:r>
      <w:r w:rsidR="00AD12BA">
        <w:rPr>
          <w:bCs/>
          <w:sz w:val="22"/>
          <w:lang w:val="en-US"/>
        </w:rPr>
        <w:t>ation</w:t>
      </w:r>
      <w:proofErr w:type="spellEnd"/>
      <w:r w:rsidR="00991D3F">
        <w:rPr>
          <w:bCs/>
          <w:sz w:val="22"/>
          <w:lang w:val="en-US"/>
        </w:rPr>
        <w:t>, followed by long</w:t>
      </w:r>
      <w:r w:rsidR="00AA6C3E">
        <w:rPr>
          <w:bCs/>
          <w:sz w:val="22"/>
          <w:lang w:val="en-US"/>
        </w:rPr>
        <w:t>-</w:t>
      </w:r>
      <w:r w:rsidR="00AD12BA">
        <w:rPr>
          <w:bCs/>
          <w:sz w:val="22"/>
          <w:lang w:val="en-US"/>
        </w:rPr>
        <w:t xml:space="preserve">term enhancements </w:t>
      </w:r>
      <w:r w:rsidR="00991D3F">
        <w:rPr>
          <w:bCs/>
          <w:sz w:val="22"/>
          <w:lang w:val="en-US"/>
        </w:rPr>
        <w:t xml:space="preserve">such </w:t>
      </w:r>
      <w:r w:rsidR="00AD12BA">
        <w:rPr>
          <w:bCs/>
          <w:sz w:val="22"/>
          <w:lang w:val="en-US"/>
        </w:rPr>
        <w:t xml:space="preserve">as TMS </w:t>
      </w:r>
      <w:r w:rsidR="00991D3F">
        <w:rPr>
          <w:bCs/>
          <w:sz w:val="22"/>
          <w:lang w:val="en-US"/>
        </w:rPr>
        <w:t>implementation, in-</w:t>
      </w:r>
      <w:r w:rsidR="00AD12BA">
        <w:rPr>
          <w:bCs/>
          <w:sz w:val="22"/>
          <w:lang w:val="en-US"/>
        </w:rPr>
        <w:t>house banking and payment and collection factory. The</w:t>
      </w:r>
      <w:r w:rsidR="00826772">
        <w:rPr>
          <w:bCs/>
          <w:sz w:val="22"/>
          <w:lang w:val="en-US"/>
        </w:rPr>
        <w:t xml:space="preserve">y need to constantly </w:t>
      </w:r>
      <w:r w:rsidR="00587ED3">
        <w:rPr>
          <w:bCs/>
          <w:sz w:val="22"/>
          <w:lang w:val="en-US"/>
        </w:rPr>
        <w:t xml:space="preserve">evolve with the increasingly complex business landscape </w:t>
      </w:r>
      <w:r w:rsidR="00826772">
        <w:rPr>
          <w:bCs/>
          <w:sz w:val="22"/>
          <w:lang w:val="en-US"/>
        </w:rPr>
        <w:t xml:space="preserve">that </w:t>
      </w:r>
      <w:r w:rsidR="00587ED3">
        <w:rPr>
          <w:bCs/>
          <w:sz w:val="22"/>
          <w:lang w:val="en-US"/>
        </w:rPr>
        <w:t>we operate in today.</w:t>
      </w:r>
    </w:p>
    <w:p w:rsidR="00B52B95" w:rsidRDefault="00B52B95" w:rsidP="009571EE">
      <w:pPr>
        <w:spacing w:line="240" w:lineRule="auto"/>
        <w:ind w:left="426"/>
        <w:rPr>
          <w:bCs/>
          <w:sz w:val="22"/>
          <w:lang w:val="en-US"/>
        </w:rPr>
      </w:pPr>
    </w:p>
    <w:p w:rsidR="00062DC3" w:rsidRPr="002C0B5D" w:rsidRDefault="00573427" w:rsidP="009571EE">
      <w:pPr>
        <w:spacing w:line="240" w:lineRule="auto"/>
        <w:ind w:left="426"/>
        <w:rPr>
          <w:bCs/>
          <w:sz w:val="22"/>
          <w:lang w:val="en-US"/>
        </w:rPr>
      </w:pPr>
      <w:r>
        <w:rPr>
          <w:bCs/>
          <w:sz w:val="22"/>
          <w:lang w:val="en-US"/>
        </w:rPr>
        <w:t>“</w:t>
      </w:r>
      <w:r w:rsidR="00DE1613" w:rsidRPr="002C0B5D">
        <w:rPr>
          <w:bCs/>
          <w:sz w:val="22"/>
          <w:lang w:val="en-US"/>
        </w:rPr>
        <w:t xml:space="preserve">The survey revealed that there are significant opportunities for Asian treasury </w:t>
      </w:r>
      <w:proofErr w:type="spellStart"/>
      <w:r w:rsidR="00DE1613" w:rsidRPr="002C0B5D">
        <w:rPr>
          <w:bCs/>
          <w:sz w:val="22"/>
          <w:lang w:val="en-US"/>
        </w:rPr>
        <w:t>centres</w:t>
      </w:r>
      <w:proofErr w:type="spellEnd"/>
      <w:r w:rsidR="00DE1613" w:rsidRPr="002C0B5D">
        <w:rPr>
          <w:bCs/>
          <w:sz w:val="22"/>
          <w:lang w:val="en-US"/>
        </w:rPr>
        <w:t xml:space="preserve"> to transform and deliver str</w:t>
      </w:r>
      <w:r w:rsidR="002C0B5D" w:rsidRPr="002C0B5D">
        <w:rPr>
          <w:bCs/>
          <w:sz w:val="22"/>
          <w:lang w:val="en-US"/>
        </w:rPr>
        <w:t>ategic benefits to the</w:t>
      </w:r>
      <w:r w:rsidR="00991D3F">
        <w:rPr>
          <w:bCs/>
          <w:sz w:val="22"/>
          <w:lang w:val="en-US"/>
        </w:rPr>
        <w:t>ir</w:t>
      </w:r>
      <w:r w:rsidR="002C0B5D" w:rsidRPr="002C0B5D">
        <w:rPr>
          <w:bCs/>
          <w:sz w:val="22"/>
          <w:lang w:val="en-US"/>
        </w:rPr>
        <w:t xml:space="preserve"> business</w:t>
      </w:r>
      <w:r w:rsidR="00991D3F">
        <w:rPr>
          <w:bCs/>
          <w:sz w:val="22"/>
          <w:lang w:val="en-US"/>
        </w:rPr>
        <w:t>es.</w:t>
      </w:r>
      <w:r w:rsidR="002C0B5D" w:rsidRPr="002C0B5D">
        <w:rPr>
          <w:bCs/>
          <w:sz w:val="22"/>
          <w:lang w:val="en-US"/>
        </w:rPr>
        <w:t>”</w:t>
      </w:r>
      <w:r w:rsidR="00DE1613" w:rsidRPr="002C0B5D">
        <w:rPr>
          <w:bCs/>
          <w:sz w:val="22"/>
          <w:lang w:val="en-US"/>
        </w:rPr>
        <w:t xml:space="preserve">  </w:t>
      </w:r>
    </w:p>
    <w:p w:rsidR="00062DC3" w:rsidRDefault="00062DC3" w:rsidP="00201296">
      <w:pPr>
        <w:rPr>
          <w:rFonts w:cs="Arial"/>
          <w:b/>
          <w:color w:val="000000"/>
          <w:sz w:val="22"/>
          <w:lang w:val="en-US"/>
        </w:rPr>
      </w:pPr>
    </w:p>
    <w:p w:rsidR="00201296" w:rsidRPr="00BD2197" w:rsidRDefault="00201296" w:rsidP="00B46808">
      <w:pPr>
        <w:jc w:val="center"/>
        <w:rPr>
          <w:rFonts w:cs="Arial"/>
          <w:b/>
          <w:color w:val="000000"/>
          <w:sz w:val="22"/>
          <w:lang w:val="en-US"/>
        </w:rPr>
      </w:pPr>
      <w:r w:rsidRPr="00BD2197">
        <w:rPr>
          <w:rFonts w:cs="Arial"/>
          <w:b/>
          <w:color w:val="000000"/>
          <w:sz w:val="22"/>
          <w:lang w:val="en-US"/>
        </w:rPr>
        <w:t>-ENDS-</w:t>
      </w:r>
    </w:p>
    <w:p w:rsidR="00201296" w:rsidRPr="00201296" w:rsidRDefault="00201296" w:rsidP="00201296">
      <w:pPr>
        <w:rPr>
          <w:rFonts w:cs="Arial"/>
          <w:color w:val="000000"/>
          <w:sz w:val="22"/>
          <w:lang w:val="en-US"/>
        </w:rPr>
      </w:pPr>
    </w:p>
    <w:p w:rsidR="00201296" w:rsidRPr="000A6FE3" w:rsidRDefault="00AA6C3E" w:rsidP="00AA6C3E">
      <w:pPr>
        <w:spacing w:line="240" w:lineRule="auto"/>
        <w:rPr>
          <w:rFonts w:cs="Arial"/>
          <w:b/>
          <w:color w:val="000000"/>
          <w:sz w:val="22"/>
          <w:lang w:val="en-US"/>
        </w:rPr>
      </w:pPr>
      <w:r>
        <w:rPr>
          <w:rFonts w:cs="Arial"/>
          <w:b/>
          <w:color w:val="000000"/>
          <w:sz w:val="22"/>
          <w:lang w:val="en-US"/>
        </w:rPr>
        <w:t>N</w:t>
      </w:r>
      <w:r w:rsidR="00201296" w:rsidRPr="000A6FE3">
        <w:rPr>
          <w:rFonts w:cs="Arial"/>
          <w:b/>
          <w:color w:val="000000"/>
          <w:sz w:val="22"/>
          <w:lang w:val="en-US"/>
        </w:rPr>
        <w:t>OTES TO EDITORS</w:t>
      </w:r>
    </w:p>
    <w:p w:rsidR="00EB3A52" w:rsidRPr="00EB3A52" w:rsidRDefault="00EB3A52" w:rsidP="00EB3A52">
      <w:pPr>
        <w:autoSpaceDE w:val="0"/>
        <w:autoSpaceDN w:val="0"/>
        <w:adjustRightInd w:val="0"/>
        <w:spacing w:line="240" w:lineRule="auto"/>
        <w:rPr>
          <w:rFonts w:ascii="ITC Charter Com" w:hAnsi="ITC Charter Com" w:cs="ITC Charter Com"/>
          <w:color w:val="000000"/>
          <w:sz w:val="24"/>
          <w:szCs w:val="24"/>
          <w:lang w:val="en-US" w:eastAsia="de-CH"/>
        </w:rPr>
      </w:pPr>
    </w:p>
    <w:p w:rsidR="00FA5A23" w:rsidRPr="00E5626D" w:rsidRDefault="00FA5A23" w:rsidP="00355C5E">
      <w:pPr>
        <w:autoSpaceDE w:val="0"/>
        <w:autoSpaceDN w:val="0"/>
        <w:adjustRightInd w:val="0"/>
        <w:spacing w:line="240" w:lineRule="auto"/>
        <w:rPr>
          <w:rFonts w:cs="ITCCharterCom-Regular"/>
          <w:sz w:val="22"/>
          <w:lang w:val="en-US" w:eastAsia="de-CH"/>
        </w:rPr>
      </w:pPr>
      <w:r w:rsidRPr="00355C5E">
        <w:rPr>
          <w:rFonts w:cs="ITCCharterCom-Regular"/>
          <w:sz w:val="22"/>
          <w:lang w:val="en-US" w:eastAsia="de-CH"/>
        </w:rPr>
        <w:t>Growt</w:t>
      </w:r>
      <w:r w:rsidR="00E5626D">
        <w:rPr>
          <w:rFonts w:cs="ITCCharterCom-Regular"/>
          <w:sz w:val="22"/>
          <w:lang w:val="en-US" w:eastAsia="de-CH"/>
        </w:rPr>
        <w:t xml:space="preserve">h in Asia has been significant. This applies to </w:t>
      </w:r>
      <w:r w:rsidRPr="00355C5E">
        <w:rPr>
          <w:rFonts w:cs="ITCCharterCom-Regular"/>
          <w:sz w:val="22"/>
          <w:lang w:val="en-US" w:eastAsia="de-CH"/>
        </w:rPr>
        <w:t xml:space="preserve">Asian companies </w:t>
      </w:r>
      <w:r w:rsidR="00E5626D">
        <w:rPr>
          <w:rFonts w:cs="ITCCharterCom-Regular"/>
          <w:sz w:val="22"/>
          <w:lang w:val="en-US" w:eastAsia="de-CH"/>
        </w:rPr>
        <w:t xml:space="preserve">and </w:t>
      </w:r>
      <w:r w:rsidRPr="00355C5E">
        <w:rPr>
          <w:rFonts w:cs="ITCCharterCom-Regular"/>
          <w:sz w:val="22"/>
          <w:lang w:val="en-US" w:eastAsia="de-CH"/>
        </w:rPr>
        <w:t>global</w:t>
      </w:r>
      <w:r w:rsidR="00E5626D">
        <w:rPr>
          <w:rFonts w:cs="ITCCharterCom-Regular"/>
          <w:sz w:val="22"/>
          <w:lang w:val="en-US" w:eastAsia="de-CH"/>
        </w:rPr>
        <w:t xml:space="preserve"> </w:t>
      </w:r>
      <w:r w:rsidRPr="00355C5E">
        <w:rPr>
          <w:rFonts w:cs="ITCCharterCom-Regular"/>
          <w:sz w:val="22"/>
          <w:lang w:val="en-US" w:eastAsia="de-CH"/>
        </w:rPr>
        <w:t xml:space="preserve">companies with operations in Asia. </w:t>
      </w:r>
      <w:r w:rsidR="000872C3" w:rsidRPr="00355C5E">
        <w:rPr>
          <w:rFonts w:cs="ITCCharterCom-Regular"/>
          <w:sz w:val="22"/>
          <w:lang w:val="en-US" w:eastAsia="de-CH"/>
        </w:rPr>
        <w:t>The</w:t>
      </w:r>
      <w:r w:rsidRPr="00355C5E">
        <w:rPr>
          <w:rFonts w:cs="ITCCharterCom-Regular"/>
          <w:sz w:val="22"/>
          <w:lang w:val="en-US" w:eastAsia="de-CH"/>
        </w:rPr>
        <w:t xml:space="preserve"> survey reveals where the Asian corporate treasury functions stand vis-à-vis their</w:t>
      </w:r>
      <w:r w:rsidR="000872C3" w:rsidRPr="00355C5E">
        <w:rPr>
          <w:rFonts w:cs="ITCCharterCom-Regular"/>
          <w:sz w:val="22"/>
          <w:lang w:val="en-US" w:eastAsia="de-CH"/>
        </w:rPr>
        <w:t xml:space="preserve"> </w:t>
      </w:r>
      <w:r w:rsidRPr="00355C5E">
        <w:rPr>
          <w:rFonts w:cs="ITCCharterCom-Regular"/>
          <w:sz w:val="22"/>
          <w:lang w:val="en-US" w:eastAsia="de-CH"/>
        </w:rPr>
        <w:t>European and US counterparts, and what treasuries need to do in order to enhance their</w:t>
      </w:r>
      <w:r w:rsidR="000872C3" w:rsidRPr="00355C5E">
        <w:rPr>
          <w:rFonts w:cs="ITCCharterCom-Regular"/>
          <w:sz w:val="22"/>
          <w:lang w:val="en-US" w:eastAsia="de-CH"/>
        </w:rPr>
        <w:t xml:space="preserve"> </w:t>
      </w:r>
      <w:r w:rsidRPr="00355C5E">
        <w:rPr>
          <w:rFonts w:cs="ITCCharterCom-Regular"/>
          <w:sz w:val="22"/>
          <w:lang w:val="en-US" w:eastAsia="de-CH"/>
        </w:rPr>
        <w:t>value-add to the businesses given that treasury functions now have greater visibility at the</w:t>
      </w:r>
      <w:r w:rsidR="000872C3" w:rsidRPr="00355C5E">
        <w:rPr>
          <w:rFonts w:cs="ITCCharterCom-Regular"/>
          <w:sz w:val="22"/>
          <w:lang w:val="en-US" w:eastAsia="de-CH"/>
        </w:rPr>
        <w:t xml:space="preserve"> </w:t>
      </w:r>
      <w:r w:rsidRPr="00355C5E">
        <w:rPr>
          <w:rFonts w:cs="ITCCharterCom-Regular"/>
          <w:sz w:val="22"/>
          <w:lang w:val="en-US" w:eastAsia="de-CH"/>
        </w:rPr>
        <w:t>board level.</w:t>
      </w:r>
      <w:r w:rsidR="00355C5E" w:rsidRPr="00355C5E">
        <w:rPr>
          <w:rFonts w:cs="ITCCharterCom-Regular"/>
          <w:color w:val="FFFFFF"/>
          <w:sz w:val="22"/>
          <w:lang w:val="en-US" w:eastAsia="de-CH"/>
        </w:rPr>
        <w:t xml:space="preserve">  </w:t>
      </w:r>
    </w:p>
    <w:p w:rsidR="00FA5A23" w:rsidRPr="00355C5E" w:rsidRDefault="00FA5A23" w:rsidP="007D7172">
      <w:pPr>
        <w:rPr>
          <w:sz w:val="22"/>
          <w:lang w:val="en-US" w:eastAsia="de-CH"/>
        </w:rPr>
      </w:pPr>
    </w:p>
    <w:p w:rsidR="00355C5E" w:rsidRDefault="007D7172" w:rsidP="00355C5E">
      <w:pPr>
        <w:tabs>
          <w:tab w:val="left" w:pos="426"/>
          <w:tab w:val="left" w:pos="2160"/>
          <w:tab w:val="left" w:pos="2880"/>
          <w:tab w:val="left" w:pos="3600"/>
          <w:tab w:val="left" w:pos="4320"/>
        </w:tabs>
        <w:autoSpaceDE w:val="0"/>
        <w:autoSpaceDN w:val="0"/>
        <w:adjustRightInd w:val="0"/>
        <w:rPr>
          <w:rFonts w:cs="ITCCharterCom-Regular"/>
          <w:sz w:val="22"/>
          <w:lang w:val="en-US" w:eastAsia="de-CH"/>
        </w:rPr>
      </w:pPr>
      <w:r w:rsidRPr="00355C5E">
        <w:rPr>
          <w:sz w:val="22"/>
          <w:lang w:val="en-US" w:eastAsia="de-CH"/>
        </w:rPr>
        <w:t xml:space="preserve">There were 117 </w:t>
      </w:r>
      <w:r w:rsidR="00E5626D">
        <w:rPr>
          <w:sz w:val="22"/>
          <w:lang w:val="en-US" w:eastAsia="de-CH"/>
        </w:rPr>
        <w:t xml:space="preserve">survey </w:t>
      </w:r>
      <w:r w:rsidRPr="00355C5E">
        <w:rPr>
          <w:sz w:val="22"/>
          <w:lang w:val="en-US" w:eastAsia="de-CH"/>
        </w:rPr>
        <w:t xml:space="preserve">respondents </w:t>
      </w:r>
      <w:r w:rsidR="00E5626D">
        <w:rPr>
          <w:sz w:val="22"/>
          <w:lang w:val="en-US" w:eastAsia="de-CH"/>
        </w:rPr>
        <w:t>from 7 countries (</w:t>
      </w:r>
      <w:r w:rsidR="00355C5E" w:rsidRPr="00355C5E">
        <w:rPr>
          <w:sz w:val="22"/>
          <w:lang w:val="en-US" w:eastAsia="de-CH"/>
        </w:rPr>
        <w:t>Singapore, Hong Kong, China, Japan, Malaysia, Indonesia and Thailand</w:t>
      </w:r>
      <w:r w:rsidR="00E5626D">
        <w:rPr>
          <w:sz w:val="22"/>
          <w:lang w:val="en-US" w:eastAsia="de-CH"/>
        </w:rPr>
        <w:t>)</w:t>
      </w:r>
      <w:r w:rsidR="00355C5E" w:rsidRPr="00355C5E">
        <w:rPr>
          <w:sz w:val="22"/>
          <w:lang w:val="en-US" w:eastAsia="de-CH"/>
        </w:rPr>
        <w:t xml:space="preserve">. </w:t>
      </w:r>
      <w:r w:rsidRPr="00355C5E">
        <w:rPr>
          <w:sz w:val="22"/>
          <w:lang w:val="en-US" w:eastAsia="de-CH"/>
        </w:rPr>
        <w:t>The respondents c</w:t>
      </w:r>
      <w:r w:rsidR="00E5626D">
        <w:rPr>
          <w:sz w:val="22"/>
          <w:lang w:val="en-US" w:eastAsia="de-CH"/>
        </w:rPr>
        <w:t>o</w:t>
      </w:r>
      <w:r w:rsidRPr="00355C5E">
        <w:rPr>
          <w:sz w:val="22"/>
          <w:lang w:val="en-US" w:eastAsia="de-CH"/>
        </w:rPr>
        <w:t>me from a wide range of industries</w:t>
      </w:r>
      <w:r w:rsidR="000872C3" w:rsidRPr="00355C5E">
        <w:rPr>
          <w:sz w:val="22"/>
          <w:lang w:val="en-US" w:eastAsia="de-CH"/>
        </w:rPr>
        <w:t xml:space="preserve"> and company sizes</w:t>
      </w:r>
      <w:r w:rsidR="00E5626D">
        <w:rPr>
          <w:sz w:val="22"/>
          <w:lang w:val="en-US" w:eastAsia="de-CH"/>
        </w:rPr>
        <w:t xml:space="preserve">, covering an extensive </w:t>
      </w:r>
      <w:r w:rsidRPr="00355C5E">
        <w:rPr>
          <w:sz w:val="22"/>
          <w:lang w:val="en-US" w:eastAsia="de-CH"/>
        </w:rPr>
        <w:t xml:space="preserve">range of treasury needs and profiles. </w:t>
      </w:r>
      <w:r w:rsidR="00355C5E" w:rsidRPr="00355C5E">
        <w:rPr>
          <w:rFonts w:cs="ITCCharterCom-Regular"/>
          <w:sz w:val="22"/>
          <w:lang w:val="en-US" w:eastAsia="de-CH"/>
        </w:rPr>
        <w:t>The survey shares insights on the structure of these corporate treasuries, their key challenges</w:t>
      </w:r>
      <w:r w:rsidR="00E5626D">
        <w:rPr>
          <w:rFonts w:cs="ITCCharterCom-Regular"/>
          <w:sz w:val="22"/>
          <w:lang w:val="en-US" w:eastAsia="de-CH"/>
        </w:rPr>
        <w:t xml:space="preserve"> faced</w:t>
      </w:r>
      <w:r w:rsidR="00355C5E" w:rsidRPr="00355C5E">
        <w:rPr>
          <w:rFonts w:cs="ITCCharterCom-Regular"/>
          <w:sz w:val="22"/>
          <w:lang w:val="en-US" w:eastAsia="de-CH"/>
        </w:rPr>
        <w:t>, their</w:t>
      </w:r>
      <w:r w:rsidR="00355C5E">
        <w:rPr>
          <w:rFonts w:cs="ITCCharterCom-Regular"/>
          <w:sz w:val="22"/>
          <w:lang w:val="en-US" w:eastAsia="de-CH"/>
        </w:rPr>
        <w:t xml:space="preserve"> </w:t>
      </w:r>
      <w:r w:rsidR="00355C5E" w:rsidRPr="00355C5E">
        <w:rPr>
          <w:rFonts w:cs="ITCCharterCom-Regular"/>
          <w:sz w:val="22"/>
          <w:lang w:val="en-US" w:eastAsia="de-CH"/>
        </w:rPr>
        <w:t xml:space="preserve">risk management approaches, their relationship with their bankers, </w:t>
      </w:r>
      <w:r w:rsidR="00E5626D">
        <w:rPr>
          <w:rFonts w:cs="ITCCharterCom-Regular"/>
          <w:sz w:val="22"/>
          <w:lang w:val="en-US" w:eastAsia="de-CH"/>
        </w:rPr>
        <w:t xml:space="preserve">and </w:t>
      </w:r>
      <w:r w:rsidR="00355C5E" w:rsidRPr="00355C5E">
        <w:rPr>
          <w:rFonts w:cs="ITCCharterCom-Regular"/>
          <w:sz w:val="22"/>
          <w:lang w:val="en-US" w:eastAsia="de-CH"/>
        </w:rPr>
        <w:t>their approaches to cash</w:t>
      </w:r>
      <w:r w:rsidR="00355C5E">
        <w:rPr>
          <w:rFonts w:cs="ITCCharterCom-Regular"/>
          <w:sz w:val="22"/>
          <w:lang w:val="en-US" w:eastAsia="de-CH"/>
        </w:rPr>
        <w:t xml:space="preserve"> </w:t>
      </w:r>
      <w:r w:rsidR="00355C5E" w:rsidRPr="00355C5E">
        <w:rPr>
          <w:rFonts w:cs="ITCCharterCom-Regular"/>
          <w:sz w:val="22"/>
          <w:lang w:val="en-US" w:eastAsia="de-CH"/>
        </w:rPr>
        <w:t>and liquidity management</w:t>
      </w:r>
      <w:r w:rsidR="00E5626D">
        <w:rPr>
          <w:rFonts w:cs="ITCCharterCom-Regular"/>
          <w:sz w:val="22"/>
          <w:lang w:val="en-US" w:eastAsia="de-CH"/>
        </w:rPr>
        <w:t xml:space="preserve"> etc</w:t>
      </w:r>
      <w:r w:rsidR="00355C5E" w:rsidRPr="00355C5E">
        <w:rPr>
          <w:rFonts w:cs="ITCCharterCom-Regular"/>
          <w:sz w:val="22"/>
          <w:lang w:val="en-US" w:eastAsia="de-CH"/>
        </w:rPr>
        <w:t>.</w:t>
      </w:r>
    </w:p>
    <w:p w:rsidR="00FA5A23" w:rsidRDefault="00FA5A23" w:rsidP="00EB3A52">
      <w:pPr>
        <w:rPr>
          <w:sz w:val="22"/>
          <w:lang w:val="en-US" w:eastAsia="de-CH"/>
        </w:rPr>
      </w:pPr>
    </w:p>
    <w:p w:rsidR="00201296" w:rsidRPr="000A6FE3" w:rsidRDefault="00201296" w:rsidP="00201296">
      <w:pPr>
        <w:rPr>
          <w:rFonts w:cs="Arial"/>
          <w:b/>
          <w:color w:val="000000"/>
          <w:sz w:val="22"/>
          <w:lang w:val="en-US"/>
        </w:rPr>
      </w:pPr>
      <w:r w:rsidRPr="000A6FE3">
        <w:rPr>
          <w:rFonts w:cs="Arial"/>
          <w:b/>
          <w:color w:val="000000"/>
          <w:sz w:val="22"/>
          <w:lang w:val="en-US"/>
        </w:rPr>
        <w:t>About PwC</w:t>
      </w:r>
    </w:p>
    <w:p w:rsidR="000A6FE3" w:rsidRPr="00201296" w:rsidRDefault="000A6FE3" w:rsidP="00201296">
      <w:pPr>
        <w:rPr>
          <w:rFonts w:cs="Arial"/>
          <w:color w:val="000000"/>
          <w:sz w:val="22"/>
          <w:lang w:val="en-US"/>
        </w:rPr>
      </w:pPr>
    </w:p>
    <w:p w:rsidR="00355C5E" w:rsidRDefault="000A6FE3" w:rsidP="00201296">
      <w:pPr>
        <w:rPr>
          <w:rFonts w:cs="Arial"/>
          <w:color w:val="000000"/>
          <w:sz w:val="22"/>
          <w:lang w:val="en-US"/>
        </w:rPr>
      </w:pPr>
      <w:r w:rsidRPr="000A6FE3">
        <w:rPr>
          <w:rFonts w:cs="Arial"/>
          <w:color w:val="000000"/>
          <w:sz w:val="22"/>
          <w:lang w:val="en-US"/>
        </w:rPr>
        <w:t xml:space="preserve">PwC helps organisations and individuals create the value they’re looking for. We’re a network of firms in 157 countries with over 184,000 people who are committed to delivering quality in assurance, tax and advisory services. </w:t>
      </w:r>
    </w:p>
    <w:p w:rsidR="00355C5E" w:rsidRDefault="00355C5E" w:rsidP="00201296">
      <w:pPr>
        <w:rPr>
          <w:rFonts w:cs="Arial"/>
          <w:color w:val="000000"/>
          <w:sz w:val="22"/>
          <w:lang w:val="en-US"/>
        </w:rPr>
      </w:pPr>
    </w:p>
    <w:p w:rsidR="00355C5E" w:rsidRDefault="00355C5E" w:rsidP="00355C5E">
      <w:pPr>
        <w:tabs>
          <w:tab w:val="left" w:pos="426"/>
          <w:tab w:val="left" w:pos="2160"/>
          <w:tab w:val="left" w:pos="2880"/>
          <w:tab w:val="left" w:pos="3600"/>
          <w:tab w:val="left" w:pos="4320"/>
        </w:tabs>
        <w:autoSpaceDE w:val="0"/>
        <w:autoSpaceDN w:val="0"/>
        <w:adjustRightInd w:val="0"/>
        <w:rPr>
          <w:sz w:val="22"/>
          <w:szCs w:val="24"/>
          <w:lang w:eastAsia="en-GB"/>
        </w:rPr>
      </w:pPr>
      <w:r>
        <w:rPr>
          <w:sz w:val="22"/>
          <w:szCs w:val="24"/>
          <w:lang w:eastAsia="en-GB"/>
        </w:rPr>
        <w:t xml:space="preserve">PwC has one of the world’s largest treasury advisory groups, providing a broad range of complementary treasury, banking, technology, taxation, accounting and programme management skills. We have worked with many of the world’s leading corporations to support change in treasury practices and have an enviable track record of successful solutions-based work. We have an extensive knowledge base of treasury standards of the leading corporations. By combining this knowledge with the multi-disciplinary skills of the team, we provide creative and practical solutions to meet the requirements of our clients. </w:t>
      </w:r>
    </w:p>
    <w:p w:rsidR="00355C5E" w:rsidRPr="00355C5E" w:rsidRDefault="00355C5E" w:rsidP="00201296">
      <w:pPr>
        <w:rPr>
          <w:rFonts w:cs="Arial"/>
          <w:color w:val="000000"/>
          <w:sz w:val="22"/>
        </w:rPr>
      </w:pPr>
    </w:p>
    <w:p w:rsidR="000A6FE3" w:rsidRDefault="000A6FE3" w:rsidP="00201296">
      <w:pPr>
        <w:rPr>
          <w:rFonts w:cs="Arial"/>
          <w:color w:val="000000"/>
          <w:sz w:val="22"/>
          <w:lang w:val="en-US"/>
        </w:rPr>
      </w:pPr>
      <w:r w:rsidRPr="000A6FE3">
        <w:rPr>
          <w:rFonts w:cs="Arial"/>
          <w:color w:val="000000"/>
          <w:sz w:val="22"/>
          <w:lang w:val="en-US"/>
        </w:rPr>
        <w:t xml:space="preserve">Tell us what matters to you and find out more by visiting us at </w:t>
      </w:r>
      <w:hyperlink r:id="rId9" w:history="1">
        <w:r w:rsidRPr="00905F27">
          <w:rPr>
            <w:rStyle w:val="Hyperlink"/>
            <w:rFonts w:cs="Arial"/>
            <w:sz w:val="22"/>
            <w:lang w:val="en-US"/>
          </w:rPr>
          <w:t>www.pwc.com</w:t>
        </w:r>
      </w:hyperlink>
      <w:r w:rsidRPr="000A6FE3">
        <w:rPr>
          <w:rFonts w:cs="Arial"/>
          <w:color w:val="000000"/>
          <w:sz w:val="22"/>
          <w:lang w:val="en-US"/>
        </w:rPr>
        <w:t>.</w:t>
      </w:r>
    </w:p>
    <w:p w:rsidR="00201296" w:rsidRPr="00201296" w:rsidRDefault="00201296" w:rsidP="00201296">
      <w:pPr>
        <w:rPr>
          <w:rFonts w:cs="Arial"/>
          <w:color w:val="000000"/>
          <w:sz w:val="22"/>
          <w:lang w:val="en-US"/>
        </w:rPr>
      </w:pPr>
    </w:p>
    <w:p w:rsidR="00D3331D" w:rsidRPr="00C455D8" w:rsidRDefault="00201296" w:rsidP="007D7172">
      <w:pPr>
        <w:rPr>
          <w:szCs w:val="20"/>
        </w:rPr>
      </w:pPr>
      <w:r w:rsidRPr="00201296">
        <w:rPr>
          <w:rFonts w:cs="Arial"/>
          <w:color w:val="000000"/>
          <w:sz w:val="22"/>
          <w:lang w:val="en-US"/>
        </w:rPr>
        <w:t xml:space="preserve"> </w:t>
      </w:r>
      <w:r w:rsidR="00D3331D" w:rsidRPr="00C455D8">
        <w:rPr>
          <w:szCs w:val="20"/>
        </w:rPr>
        <w:t>©201</w:t>
      </w:r>
      <w:r w:rsidR="00156132" w:rsidRPr="00C455D8">
        <w:rPr>
          <w:szCs w:val="20"/>
        </w:rPr>
        <w:t>4</w:t>
      </w:r>
      <w:r w:rsidR="00D3331D" w:rsidRPr="00C455D8">
        <w:rPr>
          <w:szCs w:val="20"/>
        </w:rPr>
        <w:t xml:space="preserve"> PwC. All rights reserved</w:t>
      </w:r>
    </w:p>
    <w:p w:rsidR="00D3331D" w:rsidRPr="00C455D8" w:rsidRDefault="00D3331D" w:rsidP="00DA7354">
      <w:pPr>
        <w:spacing w:line="240" w:lineRule="auto"/>
        <w:rPr>
          <w:szCs w:val="20"/>
        </w:rPr>
      </w:pPr>
    </w:p>
    <w:p w:rsidR="00D3331D" w:rsidRPr="00C455D8" w:rsidRDefault="00D3331D" w:rsidP="00027896">
      <w:pPr>
        <w:spacing w:line="240" w:lineRule="auto"/>
        <w:rPr>
          <w:szCs w:val="20"/>
        </w:rPr>
      </w:pPr>
      <w:r w:rsidRPr="00C455D8">
        <w:rPr>
          <w:szCs w:val="20"/>
        </w:rPr>
        <w:lastRenderedPageBreak/>
        <w:t>PwC refers to the PwC network and/or one or more of its member firms, each of which is a separate legal entity. Please see www.pwc.com/structure for further details.</w:t>
      </w:r>
    </w:p>
    <w:p w:rsidR="00FC4CAF" w:rsidRPr="009B44D7" w:rsidRDefault="00FC4CAF">
      <w:pPr>
        <w:pStyle w:val="NormalWeb"/>
        <w:spacing w:before="0" w:beforeAutospacing="0" w:after="0" w:afterAutospacing="0"/>
        <w:rPr>
          <w:rFonts w:ascii="Georgia" w:hAnsi="Georgia"/>
          <w:sz w:val="22"/>
          <w:szCs w:val="22"/>
          <w:lang w:val="en-GB"/>
        </w:rPr>
      </w:pPr>
    </w:p>
    <w:sectPr w:rsidR="00FC4CAF" w:rsidRPr="009B44D7" w:rsidSect="001C396E">
      <w:headerReference w:type="even" r:id="rId10"/>
      <w:headerReference w:type="default" r:id="rId11"/>
      <w:footerReference w:type="even" r:id="rId12"/>
      <w:footerReference w:type="default" r:id="rId13"/>
      <w:headerReference w:type="first" r:id="rId14"/>
      <w:pgSz w:w="11907" w:h="16839"/>
      <w:pgMar w:top="2880" w:right="850" w:bottom="720" w:left="1984" w:header="567" w:footer="567" w:gutter="0"/>
      <w:cols w:space="708"/>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4EBC" w:rsidRDefault="00DD4EBC">
      <w:pPr>
        <w:spacing w:line="240" w:lineRule="auto"/>
      </w:pPr>
      <w:r>
        <w:separator/>
      </w:r>
    </w:p>
  </w:endnote>
  <w:endnote w:type="continuationSeparator" w:id="0">
    <w:p w:rsidR="00DD4EBC" w:rsidRDefault="00DD4EB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5F" w:usb2="00000000" w:usb3="00000000" w:csb0="0000019F" w:csb1="00000000"/>
  </w:font>
  <w:font w:name="Tahoma">
    <w:panose1 w:val="020B0604030504040204"/>
    <w:charset w:val="00"/>
    <w:family w:val="swiss"/>
    <w:pitch w:val="variable"/>
    <w:sig w:usb0="E1002EFF" w:usb1="C000605B" w:usb2="00000029" w:usb3="00000000" w:csb0="000101FF" w:csb1="00000000"/>
  </w:font>
  <w:font w:name="ITC Charter Com">
    <w:altName w:val="ITC Charter Com"/>
    <w:panose1 w:val="02040503050906060B04"/>
    <w:charset w:val="00"/>
    <w:family w:val="roman"/>
    <w:pitch w:val="variable"/>
    <w:sig w:usb0="800000AF" w:usb1="5000204A" w:usb2="00000000" w:usb3="00000000" w:csb0="0000009B" w:csb1="00000000"/>
  </w:font>
  <w:font w:name="ITCCharterCom-Regular">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E28" w:rsidRDefault="00D21380">
    <w:pPr>
      <w:pStyle w:val="Footer"/>
    </w:pPr>
    <w:r>
      <w:fldChar w:fldCharType="begin"/>
    </w:r>
    <w:r w:rsidR="00E80E28">
      <w:instrText xml:space="preserve"> PAGE  \* MERGEFORMAT </w:instrText>
    </w:r>
    <w:r>
      <w:fldChar w:fldCharType="separate"/>
    </w:r>
    <w:r w:rsidR="00423E3E">
      <w:rPr>
        <w:noProof/>
      </w:rPr>
      <w:t>2</w:t>
    </w:r>
    <w:r>
      <w:rPr>
        <w:noProof/>
      </w:rPr>
      <w:fldChar w:fldCharType="end"/>
    </w:r>
    <w:r w:rsidR="00E80E28">
      <w:t xml:space="preserve"> of </w:t>
    </w:r>
    <w:r w:rsidR="00DD4EBC">
      <w:fldChar w:fldCharType="begin"/>
    </w:r>
    <w:r w:rsidR="00DD4EBC">
      <w:instrText xml:space="preserve"> NUMPAGES  \* MERGEFORMAT </w:instrText>
    </w:r>
    <w:r w:rsidR="00DD4EBC">
      <w:fldChar w:fldCharType="separate"/>
    </w:r>
    <w:r w:rsidR="00423E3E">
      <w:rPr>
        <w:noProof/>
      </w:rPr>
      <w:t>4</w:t>
    </w:r>
    <w:r w:rsidR="00DD4EBC">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E28" w:rsidRDefault="00D21380">
    <w:pPr>
      <w:pStyle w:val="Footer"/>
    </w:pPr>
    <w:r>
      <w:fldChar w:fldCharType="begin"/>
    </w:r>
    <w:r w:rsidR="00E80E28">
      <w:instrText xml:space="preserve"> PAGE  \* MERGEFORMAT </w:instrText>
    </w:r>
    <w:r>
      <w:fldChar w:fldCharType="separate"/>
    </w:r>
    <w:r w:rsidR="00423E3E">
      <w:rPr>
        <w:noProof/>
      </w:rPr>
      <w:t>3</w:t>
    </w:r>
    <w:r>
      <w:rPr>
        <w:noProof/>
      </w:rPr>
      <w:fldChar w:fldCharType="end"/>
    </w:r>
    <w:r w:rsidR="00E80E28">
      <w:t xml:space="preserve"> of </w:t>
    </w:r>
    <w:r w:rsidR="00DD4EBC">
      <w:fldChar w:fldCharType="begin"/>
    </w:r>
    <w:r w:rsidR="00DD4EBC">
      <w:instrText xml:space="preserve"> NUMPAGES  \* MERGEFORMAT </w:instrText>
    </w:r>
    <w:r w:rsidR="00DD4EBC">
      <w:fldChar w:fldCharType="separate"/>
    </w:r>
    <w:r w:rsidR="00423E3E">
      <w:rPr>
        <w:noProof/>
      </w:rPr>
      <w:t>4</w:t>
    </w:r>
    <w:r w:rsidR="00DD4EBC">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4EBC" w:rsidRDefault="00DD4EBC">
      <w:pPr>
        <w:spacing w:line="240" w:lineRule="auto"/>
      </w:pPr>
      <w:r>
        <w:separator/>
      </w:r>
    </w:p>
  </w:footnote>
  <w:footnote w:type="continuationSeparator" w:id="0">
    <w:p w:rsidR="00DD4EBC" w:rsidRDefault="00DD4EB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E28" w:rsidRDefault="00E80E28">
    <w:pPr>
      <w:pStyle w:val="Header"/>
    </w:pPr>
    <w:r>
      <w:rPr>
        <w:noProof/>
        <w:lang w:val="en-US"/>
      </w:rPr>
      <w:drawing>
        <wp:anchor distT="0" distB="0" distL="114300" distR="114300" simplePos="0" relativeHeight="251658752" behindDoc="0" locked="1" layoutInCell="1" allowOverlap="1">
          <wp:simplePos x="0" y="0"/>
          <wp:positionH relativeFrom="page">
            <wp:posOffset>431165</wp:posOffset>
          </wp:positionH>
          <wp:positionV relativeFrom="page">
            <wp:posOffset>490855</wp:posOffset>
          </wp:positionV>
          <wp:extent cx="1410970" cy="126873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410970" cy="1268730"/>
                  </a:xfrm>
                  <a:prstGeom prst="rect">
                    <a:avLst/>
                  </a:prstGeom>
                  <a:noFill/>
                </pic:spPr>
              </pic:pic>
            </a:graphicData>
          </a:graphic>
        </wp:anchor>
      </w:drawing>
    </w:r>
  </w:p>
  <w:p w:rsidR="00E80E28" w:rsidRDefault="00E80E2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E28" w:rsidRDefault="00E80E28">
    <w:pPr>
      <w:pStyle w:val="Header"/>
    </w:pPr>
    <w:r>
      <w:rPr>
        <w:noProof/>
        <w:lang w:val="en-US"/>
      </w:rPr>
      <w:drawing>
        <wp:anchor distT="0" distB="0" distL="114300" distR="114300" simplePos="0" relativeHeight="251657728" behindDoc="0" locked="1" layoutInCell="1" allowOverlap="1">
          <wp:simplePos x="0" y="0"/>
          <wp:positionH relativeFrom="page">
            <wp:posOffset>431165</wp:posOffset>
          </wp:positionH>
          <wp:positionV relativeFrom="page">
            <wp:posOffset>490855</wp:posOffset>
          </wp:positionV>
          <wp:extent cx="1410970" cy="126873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410970" cy="1268730"/>
                  </a:xfrm>
                  <a:prstGeom prst="rect">
                    <a:avLst/>
                  </a:prstGeom>
                  <a:noFill/>
                </pic:spPr>
              </pic:pic>
            </a:graphicData>
          </a:graphic>
        </wp:anchor>
      </w:drawing>
    </w:r>
  </w:p>
  <w:p w:rsidR="00E80E28" w:rsidRDefault="00E80E2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E28" w:rsidRDefault="00E80E28">
    <w:pPr>
      <w:pStyle w:val="Header"/>
    </w:pPr>
    <w:r>
      <w:rPr>
        <w:noProof/>
        <w:lang w:val="en-US"/>
      </w:rPr>
      <w:drawing>
        <wp:anchor distT="0" distB="0" distL="114300" distR="114300" simplePos="0" relativeHeight="251656704" behindDoc="0" locked="1" layoutInCell="1" allowOverlap="1">
          <wp:simplePos x="0" y="0"/>
          <wp:positionH relativeFrom="page">
            <wp:posOffset>431165</wp:posOffset>
          </wp:positionH>
          <wp:positionV relativeFrom="page">
            <wp:posOffset>490855</wp:posOffset>
          </wp:positionV>
          <wp:extent cx="1410970" cy="1268730"/>
          <wp:effectExtent l="0" t="0" r="0" b="0"/>
          <wp:wrapNone/>
          <wp:docPr id="15" name="first_pag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st_page_logo"/>
                  <pic:cNvPicPr>
                    <a:picLocks noChangeAspect="1" noChangeArrowheads="1"/>
                  </pic:cNvPicPr>
                </pic:nvPicPr>
                <pic:blipFill>
                  <a:blip r:embed="rId1"/>
                  <a:srcRect/>
                  <a:stretch>
                    <a:fillRect/>
                  </a:stretch>
                </pic:blipFill>
                <pic:spPr bwMode="auto">
                  <a:xfrm>
                    <a:off x="0" y="0"/>
                    <a:ext cx="1410970" cy="126873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6EA3AF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624EAF0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35A4528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9542781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FBD2751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00ED73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EBA5C3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100455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0D6F8D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0A4EC8A8"/>
    <w:lvl w:ilvl="0">
      <w:start w:val="1"/>
      <w:numFmt w:val="bullet"/>
      <w:lvlText w:val=""/>
      <w:lvlJc w:val="left"/>
      <w:pPr>
        <w:tabs>
          <w:tab w:val="num" w:pos="360"/>
        </w:tabs>
        <w:ind w:left="360" w:hanging="360"/>
      </w:pPr>
      <w:rPr>
        <w:rFonts w:ascii="Symbol" w:hAnsi="Symbol" w:hint="default"/>
      </w:rPr>
    </w:lvl>
  </w:abstractNum>
  <w:abstractNum w:abstractNumId="10">
    <w:nsid w:val="018F6D18"/>
    <w:multiLevelType w:val="hybridMultilevel"/>
    <w:tmpl w:val="76B6A92A"/>
    <w:lvl w:ilvl="0" w:tplc="0807000F">
      <w:start w:val="1"/>
      <w:numFmt w:val="decimal"/>
      <w:lvlText w:val="%1."/>
      <w:lvlJc w:val="left"/>
      <w:pPr>
        <w:ind w:left="756" w:hanging="360"/>
      </w:pPr>
    </w:lvl>
    <w:lvl w:ilvl="1" w:tplc="08070019" w:tentative="1">
      <w:start w:val="1"/>
      <w:numFmt w:val="lowerLetter"/>
      <w:lvlText w:val="%2."/>
      <w:lvlJc w:val="left"/>
      <w:pPr>
        <w:ind w:left="1476" w:hanging="360"/>
      </w:pPr>
    </w:lvl>
    <w:lvl w:ilvl="2" w:tplc="0807001B" w:tentative="1">
      <w:start w:val="1"/>
      <w:numFmt w:val="lowerRoman"/>
      <w:lvlText w:val="%3."/>
      <w:lvlJc w:val="right"/>
      <w:pPr>
        <w:ind w:left="2196" w:hanging="180"/>
      </w:pPr>
    </w:lvl>
    <w:lvl w:ilvl="3" w:tplc="0807000F" w:tentative="1">
      <w:start w:val="1"/>
      <w:numFmt w:val="decimal"/>
      <w:lvlText w:val="%4."/>
      <w:lvlJc w:val="left"/>
      <w:pPr>
        <w:ind w:left="2916" w:hanging="360"/>
      </w:pPr>
    </w:lvl>
    <w:lvl w:ilvl="4" w:tplc="08070019" w:tentative="1">
      <w:start w:val="1"/>
      <w:numFmt w:val="lowerLetter"/>
      <w:lvlText w:val="%5."/>
      <w:lvlJc w:val="left"/>
      <w:pPr>
        <w:ind w:left="3636" w:hanging="360"/>
      </w:pPr>
    </w:lvl>
    <w:lvl w:ilvl="5" w:tplc="0807001B" w:tentative="1">
      <w:start w:val="1"/>
      <w:numFmt w:val="lowerRoman"/>
      <w:lvlText w:val="%6."/>
      <w:lvlJc w:val="right"/>
      <w:pPr>
        <w:ind w:left="4356" w:hanging="180"/>
      </w:pPr>
    </w:lvl>
    <w:lvl w:ilvl="6" w:tplc="0807000F" w:tentative="1">
      <w:start w:val="1"/>
      <w:numFmt w:val="decimal"/>
      <w:lvlText w:val="%7."/>
      <w:lvlJc w:val="left"/>
      <w:pPr>
        <w:ind w:left="5076" w:hanging="360"/>
      </w:pPr>
    </w:lvl>
    <w:lvl w:ilvl="7" w:tplc="08070019" w:tentative="1">
      <w:start w:val="1"/>
      <w:numFmt w:val="lowerLetter"/>
      <w:lvlText w:val="%8."/>
      <w:lvlJc w:val="left"/>
      <w:pPr>
        <w:ind w:left="5796" w:hanging="360"/>
      </w:pPr>
    </w:lvl>
    <w:lvl w:ilvl="8" w:tplc="0807001B" w:tentative="1">
      <w:start w:val="1"/>
      <w:numFmt w:val="lowerRoman"/>
      <w:lvlText w:val="%9."/>
      <w:lvlJc w:val="right"/>
      <w:pPr>
        <w:ind w:left="6516" w:hanging="180"/>
      </w:pPr>
    </w:lvl>
  </w:abstractNum>
  <w:abstractNum w:abstractNumId="11">
    <w:nsid w:val="04A14E5D"/>
    <w:multiLevelType w:val="hybridMultilevel"/>
    <w:tmpl w:val="DEF4F5D6"/>
    <w:lvl w:ilvl="0" w:tplc="17020540">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21B423D"/>
    <w:multiLevelType w:val="hybridMultilevel"/>
    <w:tmpl w:val="26387494"/>
    <w:lvl w:ilvl="0" w:tplc="552CEC30">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1B042955"/>
    <w:multiLevelType w:val="hybridMultilevel"/>
    <w:tmpl w:val="AB266B02"/>
    <w:lvl w:ilvl="0" w:tplc="B8865B00">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E4F7568"/>
    <w:multiLevelType w:val="hybridMultilevel"/>
    <w:tmpl w:val="C95C5682"/>
    <w:lvl w:ilvl="0" w:tplc="08070001">
      <w:start w:val="1"/>
      <w:numFmt w:val="bullet"/>
      <w:lvlText w:val=""/>
      <w:lvlJc w:val="left"/>
      <w:pPr>
        <w:tabs>
          <w:tab w:val="num" w:pos="360"/>
        </w:tabs>
        <w:ind w:left="360" w:hanging="360"/>
      </w:pPr>
      <w:rPr>
        <w:rFonts w:ascii="Symbol" w:hAnsi="Symbol" w:hint="default"/>
      </w:rPr>
    </w:lvl>
    <w:lvl w:ilvl="1" w:tplc="08070003" w:tentative="1">
      <w:start w:val="1"/>
      <w:numFmt w:val="bullet"/>
      <w:lvlText w:val="o"/>
      <w:lvlJc w:val="left"/>
      <w:pPr>
        <w:tabs>
          <w:tab w:val="num" w:pos="1080"/>
        </w:tabs>
        <w:ind w:left="1080" w:hanging="360"/>
      </w:pPr>
      <w:rPr>
        <w:rFonts w:ascii="Courier New" w:hAnsi="Courier New" w:hint="default"/>
      </w:rPr>
    </w:lvl>
    <w:lvl w:ilvl="2" w:tplc="08070005" w:tentative="1">
      <w:start w:val="1"/>
      <w:numFmt w:val="bullet"/>
      <w:lvlText w:val=""/>
      <w:lvlJc w:val="left"/>
      <w:pPr>
        <w:tabs>
          <w:tab w:val="num" w:pos="1800"/>
        </w:tabs>
        <w:ind w:left="1800" w:hanging="360"/>
      </w:pPr>
      <w:rPr>
        <w:rFonts w:ascii="Wingdings" w:hAnsi="Wingdings" w:hint="default"/>
      </w:rPr>
    </w:lvl>
    <w:lvl w:ilvl="3" w:tplc="08070001" w:tentative="1">
      <w:start w:val="1"/>
      <w:numFmt w:val="bullet"/>
      <w:lvlText w:val=""/>
      <w:lvlJc w:val="left"/>
      <w:pPr>
        <w:tabs>
          <w:tab w:val="num" w:pos="2520"/>
        </w:tabs>
        <w:ind w:left="2520" w:hanging="360"/>
      </w:pPr>
      <w:rPr>
        <w:rFonts w:ascii="Symbol" w:hAnsi="Symbol" w:hint="default"/>
      </w:rPr>
    </w:lvl>
    <w:lvl w:ilvl="4" w:tplc="08070003" w:tentative="1">
      <w:start w:val="1"/>
      <w:numFmt w:val="bullet"/>
      <w:lvlText w:val="o"/>
      <w:lvlJc w:val="left"/>
      <w:pPr>
        <w:tabs>
          <w:tab w:val="num" w:pos="3240"/>
        </w:tabs>
        <w:ind w:left="3240" w:hanging="360"/>
      </w:pPr>
      <w:rPr>
        <w:rFonts w:ascii="Courier New" w:hAnsi="Courier New" w:hint="default"/>
      </w:rPr>
    </w:lvl>
    <w:lvl w:ilvl="5" w:tplc="08070005" w:tentative="1">
      <w:start w:val="1"/>
      <w:numFmt w:val="bullet"/>
      <w:lvlText w:val=""/>
      <w:lvlJc w:val="left"/>
      <w:pPr>
        <w:tabs>
          <w:tab w:val="num" w:pos="3960"/>
        </w:tabs>
        <w:ind w:left="3960" w:hanging="360"/>
      </w:pPr>
      <w:rPr>
        <w:rFonts w:ascii="Wingdings" w:hAnsi="Wingdings" w:hint="default"/>
      </w:rPr>
    </w:lvl>
    <w:lvl w:ilvl="6" w:tplc="08070001" w:tentative="1">
      <w:start w:val="1"/>
      <w:numFmt w:val="bullet"/>
      <w:lvlText w:val=""/>
      <w:lvlJc w:val="left"/>
      <w:pPr>
        <w:tabs>
          <w:tab w:val="num" w:pos="4680"/>
        </w:tabs>
        <w:ind w:left="4680" w:hanging="360"/>
      </w:pPr>
      <w:rPr>
        <w:rFonts w:ascii="Symbol" w:hAnsi="Symbol" w:hint="default"/>
      </w:rPr>
    </w:lvl>
    <w:lvl w:ilvl="7" w:tplc="08070003" w:tentative="1">
      <w:start w:val="1"/>
      <w:numFmt w:val="bullet"/>
      <w:lvlText w:val="o"/>
      <w:lvlJc w:val="left"/>
      <w:pPr>
        <w:tabs>
          <w:tab w:val="num" w:pos="5400"/>
        </w:tabs>
        <w:ind w:left="5400" w:hanging="360"/>
      </w:pPr>
      <w:rPr>
        <w:rFonts w:ascii="Courier New" w:hAnsi="Courier New" w:hint="default"/>
      </w:rPr>
    </w:lvl>
    <w:lvl w:ilvl="8" w:tplc="08070005" w:tentative="1">
      <w:start w:val="1"/>
      <w:numFmt w:val="bullet"/>
      <w:lvlText w:val=""/>
      <w:lvlJc w:val="left"/>
      <w:pPr>
        <w:tabs>
          <w:tab w:val="num" w:pos="6120"/>
        </w:tabs>
        <w:ind w:left="6120" w:hanging="360"/>
      </w:pPr>
      <w:rPr>
        <w:rFonts w:ascii="Wingdings" w:hAnsi="Wingdings" w:hint="default"/>
      </w:rPr>
    </w:lvl>
  </w:abstractNum>
  <w:abstractNum w:abstractNumId="15">
    <w:nsid w:val="26E72A0D"/>
    <w:multiLevelType w:val="hybridMultilevel"/>
    <w:tmpl w:val="8110EAB8"/>
    <w:lvl w:ilvl="0" w:tplc="64D264B8">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08868B0"/>
    <w:multiLevelType w:val="hybridMultilevel"/>
    <w:tmpl w:val="F4CE3CDC"/>
    <w:lvl w:ilvl="0" w:tplc="0809000F">
      <w:start w:val="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448D179A"/>
    <w:multiLevelType w:val="hybridMultilevel"/>
    <w:tmpl w:val="E6A4BF50"/>
    <w:lvl w:ilvl="0" w:tplc="0807000F">
      <w:start w:val="1"/>
      <w:numFmt w:val="decimal"/>
      <w:lvlText w:val="%1."/>
      <w:lvlJc w:val="left"/>
      <w:pPr>
        <w:ind w:left="756" w:hanging="360"/>
      </w:pPr>
    </w:lvl>
    <w:lvl w:ilvl="1" w:tplc="08070019" w:tentative="1">
      <w:start w:val="1"/>
      <w:numFmt w:val="lowerLetter"/>
      <w:lvlText w:val="%2."/>
      <w:lvlJc w:val="left"/>
      <w:pPr>
        <w:ind w:left="1476" w:hanging="360"/>
      </w:pPr>
    </w:lvl>
    <w:lvl w:ilvl="2" w:tplc="0807001B" w:tentative="1">
      <w:start w:val="1"/>
      <w:numFmt w:val="lowerRoman"/>
      <w:lvlText w:val="%3."/>
      <w:lvlJc w:val="right"/>
      <w:pPr>
        <w:ind w:left="2196" w:hanging="180"/>
      </w:pPr>
    </w:lvl>
    <w:lvl w:ilvl="3" w:tplc="0807000F" w:tentative="1">
      <w:start w:val="1"/>
      <w:numFmt w:val="decimal"/>
      <w:lvlText w:val="%4."/>
      <w:lvlJc w:val="left"/>
      <w:pPr>
        <w:ind w:left="2916" w:hanging="360"/>
      </w:pPr>
    </w:lvl>
    <w:lvl w:ilvl="4" w:tplc="08070019" w:tentative="1">
      <w:start w:val="1"/>
      <w:numFmt w:val="lowerLetter"/>
      <w:lvlText w:val="%5."/>
      <w:lvlJc w:val="left"/>
      <w:pPr>
        <w:ind w:left="3636" w:hanging="360"/>
      </w:pPr>
    </w:lvl>
    <w:lvl w:ilvl="5" w:tplc="0807001B" w:tentative="1">
      <w:start w:val="1"/>
      <w:numFmt w:val="lowerRoman"/>
      <w:lvlText w:val="%6."/>
      <w:lvlJc w:val="right"/>
      <w:pPr>
        <w:ind w:left="4356" w:hanging="180"/>
      </w:pPr>
    </w:lvl>
    <w:lvl w:ilvl="6" w:tplc="0807000F" w:tentative="1">
      <w:start w:val="1"/>
      <w:numFmt w:val="decimal"/>
      <w:lvlText w:val="%7."/>
      <w:lvlJc w:val="left"/>
      <w:pPr>
        <w:ind w:left="5076" w:hanging="360"/>
      </w:pPr>
    </w:lvl>
    <w:lvl w:ilvl="7" w:tplc="08070019" w:tentative="1">
      <w:start w:val="1"/>
      <w:numFmt w:val="lowerLetter"/>
      <w:lvlText w:val="%8."/>
      <w:lvlJc w:val="left"/>
      <w:pPr>
        <w:ind w:left="5796" w:hanging="360"/>
      </w:pPr>
    </w:lvl>
    <w:lvl w:ilvl="8" w:tplc="0807001B" w:tentative="1">
      <w:start w:val="1"/>
      <w:numFmt w:val="lowerRoman"/>
      <w:lvlText w:val="%9."/>
      <w:lvlJc w:val="right"/>
      <w:pPr>
        <w:ind w:left="6516" w:hanging="180"/>
      </w:pPr>
    </w:lvl>
  </w:abstractNum>
  <w:abstractNum w:abstractNumId="18">
    <w:nsid w:val="44EC479A"/>
    <w:multiLevelType w:val="hybridMultilevel"/>
    <w:tmpl w:val="452C31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9">
    <w:nsid w:val="4659139E"/>
    <w:multiLevelType w:val="hybridMultilevel"/>
    <w:tmpl w:val="3DB841CA"/>
    <w:lvl w:ilvl="0" w:tplc="6FCC793A">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2430D34"/>
    <w:multiLevelType w:val="hybridMultilevel"/>
    <w:tmpl w:val="C59CA326"/>
    <w:lvl w:ilvl="0" w:tplc="E57435FE">
      <w:numFmt w:val="bullet"/>
      <w:lvlText w:val=""/>
      <w:lvlJc w:val="left"/>
      <w:pPr>
        <w:ind w:left="1080" w:hanging="360"/>
      </w:pPr>
      <w:rPr>
        <w:rFonts w:ascii="Symbol" w:eastAsia="Calibri"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nsid w:val="5B714479"/>
    <w:multiLevelType w:val="hybridMultilevel"/>
    <w:tmpl w:val="25F6C006"/>
    <w:lvl w:ilvl="0" w:tplc="0409000F">
      <w:start w:val="1"/>
      <w:numFmt w:val="decimal"/>
      <w:lvlText w:val="%1."/>
      <w:lvlJc w:val="left"/>
      <w:pPr>
        <w:tabs>
          <w:tab w:val="num" w:pos="720"/>
        </w:tabs>
        <w:ind w:left="720" w:hanging="360"/>
      </w:pPr>
      <w:rPr>
        <w:rFonts w:hint="default"/>
      </w:rPr>
    </w:lvl>
    <w:lvl w:ilvl="1" w:tplc="08070019">
      <w:start w:val="1"/>
      <w:numFmt w:val="lowerLetter"/>
      <w:lvlText w:val="%2."/>
      <w:lvlJc w:val="left"/>
      <w:pPr>
        <w:tabs>
          <w:tab w:val="num" w:pos="1440"/>
        </w:tabs>
        <w:ind w:left="1440" w:hanging="360"/>
      </w:pPr>
      <w:rPr>
        <w:rFonts w:cs="Times New Roman"/>
      </w:rPr>
    </w:lvl>
    <w:lvl w:ilvl="2" w:tplc="0807001B" w:tentative="1">
      <w:start w:val="1"/>
      <w:numFmt w:val="lowerRoman"/>
      <w:lvlText w:val="%3."/>
      <w:lvlJc w:val="right"/>
      <w:pPr>
        <w:tabs>
          <w:tab w:val="num" w:pos="2160"/>
        </w:tabs>
        <w:ind w:left="2160" w:hanging="180"/>
      </w:pPr>
      <w:rPr>
        <w:rFonts w:cs="Times New Roman"/>
      </w:rPr>
    </w:lvl>
    <w:lvl w:ilvl="3" w:tplc="0807000F" w:tentative="1">
      <w:start w:val="1"/>
      <w:numFmt w:val="decimal"/>
      <w:lvlText w:val="%4."/>
      <w:lvlJc w:val="left"/>
      <w:pPr>
        <w:tabs>
          <w:tab w:val="num" w:pos="2880"/>
        </w:tabs>
        <w:ind w:left="2880" w:hanging="360"/>
      </w:pPr>
      <w:rPr>
        <w:rFonts w:cs="Times New Roman"/>
      </w:rPr>
    </w:lvl>
    <w:lvl w:ilvl="4" w:tplc="08070019" w:tentative="1">
      <w:start w:val="1"/>
      <w:numFmt w:val="lowerLetter"/>
      <w:lvlText w:val="%5."/>
      <w:lvlJc w:val="left"/>
      <w:pPr>
        <w:tabs>
          <w:tab w:val="num" w:pos="3600"/>
        </w:tabs>
        <w:ind w:left="3600" w:hanging="360"/>
      </w:pPr>
      <w:rPr>
        <w:rFonts w:cs="Times New Roman"/>
      </w:rPr>
    </w:lvl>
    <w:lvl w:ilvl="5" w:tplc="0807001B" w:tentative="1">
      <w:start w:val="1"/>
      <w:numFmt w:val="lowerRoman"/>
      <w:lvlText w:val="%6."/>
      <w:lvlJc w:val="right"/>
      <w:pPr>
        <w:tabs>
          <w:tab w:val="num" w:pos="4320"/>
        </w:tabs>
        <w:ind w:left="4320" w:hanging="180"/>
      </w:pPr>
      <w:rPr>
        <w:rFonts w:cs="Times New Roman"/>
      </w:rPr>
    </w:lvl>
    <w:lvl w:ilvl="6" w:tplc="0807000F" w:tentative="1">
      <w:start w:val="1"/>
      <w:numFmt w:val="decimal"/>
      <w:lvlText w:val="%7."/>
      <w:lvlJc w:val="left"/>
      <w:pPr>
        <w:tabs>
          <w:tab w:val="num" w:pos="5040"/>
        </w:tabs>
        <w:ind w:left="5040" w:hanging="360"/>
      </w:pPr>
      <w:rPr>
        <w:rFonts w:cs="Times New Roman"/>
      </w:rPr>
    </w:lvl>
    <w:lvl w:ilvl="7" w:tplc="08070019" w:tentative="1">
      <w:start w:val="1"/>
      <w:numFmt w:val="lowerLetter"/>
      <w:lvlText w:val="%8."/>
      <w:lvlJc w:val="left"/>
      <w:pPr>
        <w:tabs>
          <w:tab w:val="num" w:pos="5760"/>
        </w:tabs>
        <w:ind w:left="5760" w:hanging="360"/>
      </w:pPr>
      <w:rPr>
        <w:rFonts w:cs="Times New Roman"/>
      </w:rPr>
    </w:lvl>
    <w:lvl w:ilvl="8" w:tplc="0807001B" w:tentative="1">
      <w:start w:val="1"/>
      <w:numFmt w:val="lowerRoman"/>
      <w:lvlText w:val="%9."/>
      <w:lvlJc w:val="right"/>
      <w:pPr>
        <w:tabs>
          <w:tab w:val="num" w:pos="6480"/>
        </w:tabs>
        <w:ind w:left="6480" w:hanging="180"/>
      </w:pPr>
      <w:rPr>
        <w:rFonts w:cs="Times New Roman"/>
      </w:rPr>
    </w:lvl>
  </w:abstractNum>
  <w:abstractNum w:abstractNumId="22">
    <w:nsid w:val="73E86619"/>
    <w:multiLevelType w:val="hybridMultilevel"/>
    <w:tmpl w:val="E2D80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59C38D7"/>
    <w:multiLevelType w:val="hybridMultilevel"/>
    <w:tmpl w:val="4C6E9340"/>
    <w:lvl w:ilvl="0" w:tplc="55D68D4E">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6A60403"/>
    <w:multiLevelType w:val="hybridMultilevel"/>
    <w:tmpl w:val="368E4ABC"/>
    <w:lvl w:ilvl="0" w:tplc="08070001">
      <w:start w:val="1"/>
      <w:numFmt w:val="bullet"/>
      <w:lvlText w:val=""/>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4"/>
  </w:num>
  <w:num w:numId="13">
    <w:abstractNumId w:val="21"/>
  </w:num>
  <w:num w:numId="14">
    <w:abstractNumId w:val="17"/>
  </w:num>
  <w:num w:numId="15">
    <w:abstractNumId w:val="10"/>
  </w:num>
  <w:num w:numId="16">
    <w:abstractNumId w:val="16"/>
  </w:num>
  <w:num w:numId="17">
    <w:abstractNumId w:val="11"/>
  </w:num>
  <w:num w:numId="18">
    <w:abstractNumId w:val="20"/>
  </w:num>
  <w:num w:numId="19">
    <w:abstractNumId w:val="19"/>
  </w:num>
  <w:num w:numId="20">
    <w:abstractNumId w:val="15"/>
  </w:num>
  <w:num w:numId="21">
    <w:abstractNumId w:val="23"/>
  </w:num>
  <w:num w:numId="22">
    <w:abstractNumId w:val="18"/>
  </w:num>
  <w:num w:numId="23">
    <w:abstractNumId w:val="22"/>
  </w:num>
  <w:num w:numId="24">
    <w:abstractNumId w:val="13"/>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defaultTabStop w:val="720"/>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CAF"/>
    <w:rsid w:val="0000638A"/>
    <w:rsid w:val="00011BB5"/>
    <w:rsid w:val="00027896"/>
    <w:rsid w:val="00027BA8"/>
    <w:rsid w:val="0003442D"/>
    <w:rsid w:val="00041239"/>
    <w:rsid w:val="00062DC3"/>
    <w:rsid w:val="0007242A"/>
    <w:rsid w:val="000872C3"/>
    <w:rsid w:val="00090E6A"/>
    <w:rsid w:val="00095ECA"/>
    <w:rsid w:val="00096B74"/>
    <w:rsid w:val="000A07F5"/>
    <w:rsid w:val="000A1076"/>
    <w:rsid w:val="000A626D"/>
    <w:rsid w:val="000A6FE3"/>
    <w:rsid w:val="000C2CCC"/>
    <w:rsid w:val="000C46DC"/>
    <w:rsid w:val="000C718A"/>
    <w:rsid w:val="000D0998"/>
    <w:rsid w:val="000D1997"/>
    <w:rsid w:val="000D4747"/>
    <w:rsid w:val="000D54B8"/>
    <w:rsid w:val="000E4909"/>
    <w:rsid w:val="000F0570"/>
    <w:rsid w:val="000F6C99"/>
    <w:rsid w:val="00104B42"/>
    <w:rsid w:val="001052B0"/>
    <w:rsid w:val="00105B83"/>
    <w:rsid w:val="0011238C"/>
    <w:rsid w:val="00116303"/>
    <w:rsid w:val="00116C4E"/>
    <w:rsid w:val="00120303"/>
    <w:rsid w:val="00132642"/>
    <w:rsid w:val="00137EA3"/>
    <w:rsid w:val="00140BE6"/>
    <w:rsid w:val="00146943"/>
    <w:rsid w:val="00155115"/>
    <w:rsid w:val="00156132"/>
    <w:rsid w:val="00164668"/>
    <w:rsid w:val="001666C0"/>
    <w:rsid w:val="00170DCD"/>
    <w:rsid w:val="0017358B"/>
    <w:rsid w:val="00175527"/>
    <w:rsid w:val="00177529"/>
    <w:rsid w:val="0018056A"/>
    <w:rsid w:val="0018648B"/>
    <w:rsid w:val="001A7CFC"/>
    <w:rsid w:val="001B1D3F"/>
    <w:rsid w:val="001B6BC7"/>
    <w:rsid w:val="001C2873"/>
    <w:rsid w:val="001C396E"/>
    <w:rsid w:val="001C3AB4"/>
    <w:rsid w:val="001D1455"/>
    <w:rsid w:val="001D41C7"/>
    <w:rsid w:val="001E08A2"/>
    <w:rsid w:val="001E1AC3"/>
    <w:rsid w:val="001E4CCC"/>
    <w:rsid w:val="001F28BB"/>
    <w:rsid w:val="001F2C9F"/>
    <w:rsid w:val="001F344E"/>
    <w:rsid w:val="001F75B8"/>
    <w:rsid w:val="00201296"/>
    <w:rsid w:val="00207281"/>
    <w:rsid w:val="00207289"/>
    <w:rsid w:val="00211277"/>
    <w:rsid w:val="00230438"/>
    <w:rsid w:val="0023123E"/>
    <w:rsid w:val="00235144"/>
    <w:rsid w:val="00242323"/>
    <w:rsid w:val="00243D25"/>
    <w:rsid w:val="00252460"/>
    <w:rsid w:val="002728BE"/>
    <w:rsid w:val="0028188B"/>
    <w:rsid w:val="002904A6"/>
    <w:rsid w:val="00291F54"/>
    <w:rsid w:val="002A05BB"/>
    <w:rsid w:val="002A527D"/>
    <w:rsid w:val="002B0AEA"/>
    <w:rsid w:val="002C0B5D"/>
    <w:rsid w:val="002C316D"/>
    <w:rsid w:val="002D4DDA"/>
    <w:rsid w:val="002D62F3"/>
    <w:rsid w:val="002E744C"/>
    <w:rsid w:val="002F69B7"/>
    <w:rsid w:val="0030299C"/>
    <w:rsid w:val="00310045"/>
    <w:rsid w:val="00321CA6"/>
    <w:rsid w:val="00322E2A"/>
    <w:rsid w:val="00322E2E"/>
    <w:rsid w:val="003252A4"/>
    <w:rsid w:val="003253FC"/>
    <w:rsid w:val="00326A25"/>
    <w:rsid w:val="00335B35"/>
    <w:rsid w:val="00337844"/>
    <w:rsid w:val="00337F61"/>
    <w:rsid w:val="00353FE2"/>
    <w:rsid w:val="00355C5E"/>
    <w:rsid w:val="00361D96"/>
    <w:rsid w:val="0038145E"/>
    <w:rsid w:val="003A0C24"/>
    <w:rsid w:val="003A266E"/>
    <w:rsid w:val="003B06C0"/>
    <w:rsid w:val="003B288D"/>
    <w:rsid w:val="003B3233"/>
    <w:rsid w:val="003C7432"/>
    <w:rsid w:val="003D3F35"/>
    <w:rsid w:val="003E2034"/>
    <w:rsid w:val="003E2100"/>
    <w:rsid w:val="003E4245"/>
    <w:rsid w:val="003F2194"/>
    <w:rsid w:val="003F50D7"/>
    <w:rsid w:val="004042F9"/>
    <w:rsid w:val="00411321"/>
    <w:rsid w:val="004210B4"/>
    <w:rsid w:val="00423E3E"/>
    <w:rsid w:val="00427E55"/>
    <w:rsid w:val="00437C05"/>
    <w:rsid w:val="00440DE0"/>
    <w:rsid w:val="00441661"/>
    <w:rsid w:val="004426EC"/>
    <w:rsid w:val="00445857"/>
    <w:rsid w:val="00472B3F"/>
    <w:rsid w:val="00481020"/>
    <w:rsid w:val="00490282"/>
    <w:rsid w:val="00492CF2"/>
    <w:rsid w:val="004A1781"/>
    <w:rsid w:val="004A2F35"/>
    <w:rsid w:val="004A4A8B"/>
    <w:rsid w:val="004A7C71"/>
    <w:rsid w:val="004B5EAA"/>
    <w:rsid w:val="004B6F98"/>
    <w:rsid w:val="004B7514"/>
    <w:rsid w:val="004C24C2"/>
    <w:rsid w:val="004D0094"/>
    <w:rsid w:val="004E1F71"/>
    <w:rsid w:val="004F1F7A"/>
    <w:rsid w:val="004F4AA0"/>
    <w:rsid w:val="004F5150"/>
    <w:rsid w:val="004F6B1D"/>
    <w:rsid w:val="00501F9C"/>
    <w:rsid w:val="005100F3"/>
    <w:rsid w:val="00530885"/>
    <w:rsid w:val="00540001"/>
    <w:rsid w:val="00540D89"/>
    <w:rsid w:val="0054261F"/>
    <w:rsid w:val="00545AA0"/>
    <w:rsid w:val="00550F39"/>
    <w:rsid w:val="005530E0"/>
    <w:rsid w:val="00561FC9"/>
    <w:rsid w:val="00564FB8"/>
    <w:rsid w:val="00566EBD"/>
    <w:rsid w:val="00572EF8"/>
    <w:rsid w:val="00573427"/>
    <w:rsid w:val="00587ED3"/>
    <w:rsid w:val="005915EA"/>
    <w:rsid w:val="00593FD1"/>
    <w:rsid w:val="00595682"/>
    <w:rsid w:val="005A72F2"/>
    <w:rsid w:val="005B4ED5"/>
    <w:rsid w:val="005B7C74"/>
    <w:rsid w:val="005C2F82"/>
    <w:rsid w:val="005C3E42"/>
    <w:rsid w:val="005D059F"/>
    <w:rsid w:val="005D7CD3"/>
    <w:rsid w:val="005E5FCE"/>
    <w:rsid w:val="005E68C5"/>
    <w:rsid w:val="005F20B2"/>
    <w:rsid w:val="005F44BE"/>
    <w:rsid w:val="00640CAF"/>
    <w:rsid w:val="006457F8"/>
    <w:rsid w:val="00671743"/>
    <w:rsid w:val="00674C1C"/>
    <w:rsid w:val="006814E8"/>
    <w:rsid w:val="00684458"/>
    <w:rsid w:val="006934E8"/>
    <w:rsid w:val="006970E8"/>
    <w:rsid w:val="006A0D2D"/>
    <w:rsid w:val="006A2ACF"/>
    <w:rsid w:val="006A3A2E"/>
    <w:rsid w:val="006A44B9"/>
    <w:rsid w:val="006B518B"/>
    <w:rsid w:val="006C773B"/>
    <w:rsid w:val="006D2A02"/>
    <w:rsid w:val="006D518C"/>
    <w:rsid w:val="006D7781"/>
    <w:rsid w:val="006F3041"/>
    <w:rsid w:val="006F31D0"/>
    <w:rsid w:val="007009F4"/>
    <w:rsid w:val="00700C89"/>
    <w:rsid w:val="00704113"/>
    <w:rsid w:val="007102E4"/>
    <w:rsid w:val="00717F12"/>
    <w:rsid w:val="0073725B"/>
    <w:rsid w:val="0076193F"/>
    <w:rsid w:val="00762CDB"/>
    <w:rsid w:val="007656D2"/>
    <w:rsid w:val="00772B64"/>
    <w:rsid w:val="00774F9C"/>
    <w:rsid w:val="007815EB"/>
    <w:rsid w:val="0078639A"/>
    <w:rsid w:val="00786D6B"/>
    <w:rsid w:val="0079319F"/>
    <w:rsid w:val="00795D1F"/>
    <w:rsid w:val="00796F86"/>
    <w:rsid w:val="007A3645"/>
    <w:rsid w:val="007A69FD"/>
    <w:rsid w:val="007B6933"/>
    <w:rsid w:val="007B71D9"/>
    <w:rsid w:val="007B799F"/>
    <w:rsid w:val="007C47ED"/>
    <w:rsid w:val="007C522F"/>
    <w:rsid w:val="007C56AC"/>
    <w:rsid w:val="007D7172"/>
    <w:rsid w:val="007E28B3"/>
    <w:rsid w:val="007F7041"/>
    <w:rsid w:val="0080226E"/>
    <w:rsid w:val="00802E10"/>
    <w:rsid w:val="0081210F"/>
    <w:rsid w:val="00812C2E"/>
    <w:rsid w:val="008136CB"/>
    <w:rsid w:val="00822D7B"/>
    <w:rsid w:val="00822DD4"/>
    <w:rsid w:val="008258EA"/>
    <w:rsid w:val="00826772"/>
    <w:rsid w:val="00834156"/>
    <w:rsid w:val="00836599"/>
    <w:rsid w:val="0083725E"/>
    <w:rsid w:val="00845DEA"/>
    <w:rsid w:val="00852751"/>
    <w:rsid w:val="00853920"/>
    <w:rsid w:val="00855A36"/>
    <w:rsid w:val="008576C8"/>
    <w:rsid w:val="00867ACD"/>
    <w:rsid w:val="00876217"/>
    <w:rsid w:val="00885765"/>
    <w:rsid w:val="00885B8B"/>
    <w:rsid w:val="00892F4F"/>
    <w:rsid w:val="00896ED4"/>
    <w:rsid w:val="008B018E"/>
    <w:rsid w:val="008B0DB1"/>
    <w:rsid w:val="008C5872"/>
    <w:rsid w:val="008D1014"/>
    <w:rsid w:val="008E3316"/>
    <w:rsid w:val="00906C9B"/>
    <w:rsid w:val="0091324D"/>
    <w:rsid w:val="009174BC"/>
    <w:rsid w:val="00924D8A"/>
    <w:rsid w:val="00931012"/>
    <w:rsid w:val="00941ABC"/>
    <w:rsid w:val="0094444E"/>
    <w:rsid w:val="00944C08"/>
    <w:rsid w:val="00945336"/>
    <w:rsid w:val="009516C4"/>
    <w:rsid w:val="00953F26"/>
    <w:rsid w:val="009571EE"/>
    <w:rsid w:val="00962CD4"/>
    <w:rsid w:val="00964509"/>
    <w:rsid w:val="009869F5"/>
    <w:rsid w:val="00991D3F"/>
    <w:rsid w:val="009A0D9D"/>
    <w:rsid w:val="009A15D9"/>
    <w:rsid w:val="009B44D7"/>
    <w:rsid w:val="009C0E9D"/>
    <w:rsid w:val="009D0CBE"/>
    <w:rsid w:val="009D63A9"/>
    <w:rsid w:val="009E4D39"/>
    <w:rsid w:val="00A02909"/>
    <w:rsid w:val="00A05054"/>
    <w:rsid w:val="00A06DF8"/>
    <w:rsid w:val="00A14C92"/>
    <w:rsid w:val="00A26FCD"/>
    <w:rsid w:val="00A44675"/>
    <w:rsid w:val="00A60BD9"/>
    <w:rsid w:val="00A65F8C"/>
    <w:rsid w:val="00A7515E"/>
    <w:rsid w:val="00A77EEF"/>
    <w:rsid w:val="00AA6C3E"/>
    <w:rsid w:val="00AB5BB4"/>
    <w:rsid w:val="00AB7B25"/>
    <w:rsid w:val="00AC0850"/>
    <w:rsid w:val="00AC1562"/>
    <w:rsid w:val="00AC44F3"/>
    <w:rsid w:val="00AD0341"/>
    <w:rsid w:val="00AD12BA"/>
    <w:rsid w:val="00AD5277"/>
    <w:rsid w:val="00AE71F8"/>
    <w:rsid w:val="00B04857"/>
    <w:rsid w:val="00B05B67"/>
    <w:rsid w:val="00B21F78"/>
    <w:rsid w:val="00B2704C"/>
    <w:rsid w:val="00B30972"/>
    <w:rsid w:val="00B30BAD"/>
    <w:rsid w:val="00B32A6D"/>
    <w:rsid w:val="00B3356C"/>
    <w:rsid w:val="00B339FB"/>
    <w:rsid w:val="00B46808"/>
    <w:rsid w:val="00B52B95"/>
    <w:rsid w:val="00B57F01"/>
    <w:rsid w:val="00B62F2B"/>
    <w:rsid w:val="00B678BB"/>
    <w:rsid w:val="00B71EB1"/>
    <w:rsid w:val="00B732F6"/>
    <w:rsid w:val="00BB5712"/>
    <w:rsid w:val="00BB710B"/>
    <w:rsid w:val="00BD1B80"/>
    <w:rsid w:val="00BD2197"/>
    <w:rsid w:val="00BD3060"/>
    <w:rsid w:val="00BE3E6E"/>
    <w:rsid w:val="00BF7C9C"/>
    <w:rsid w:val="00C022A9"/>
    <w:rsid w:val="00C02A9E"/>
    <w:rsid w:val="00C07982"/>
    <w:rsid w:val="00C1256C"/>
    <w:rsid w:val="00C15E32"/>
    <w:rsid w:val="00C206D0"/>
    <w:rsid w:val="00C336A9"/>
    <w:rsid w:val="00C35D5E"/>
    <w:rsid w:val="00C4070A"/>
    <w:rsid w:val="00C455D8"/>
    <w:rsid w:val="00C53CC8"/>
    <w:rsid w:val="00C57861"/>
    <w:rsid w:val="00C61436"/>
    <w:rsid w:val="00C62240"/>
    <w:rsid w:val="00C71296"/>
    <w:rsid w:val="00C73F86"/>
    <w:rsid w:val="00C748C3"/>
    <w:rsid w:val="00C76DB8"/>
    <w:rsid w:val="00C808BE"/>
    <w:rsid w:val="00C83CCD"/>
    <w:rsid w:val="00CA12DF"/>
    <w:rsid w:val="00CA4400"/>
    <w:rsid w:val="00CA4B59"/>
    <w:rsid w:val="00CA689C"/>
    <w:rsid w:val="00CC6DF8"/>
    <w:rsid w:val="00CD0953"/>
    <w:rsid w:val="00CD1A43"/>
    <w:rsid w:val="00CD33C6"/>
    <w:rsid w:val="00CD5508"/>
    <w:rsid w:val="00CD7D1A"/>
    <w:rsid w:val="00CD7F0E"/>
    <w:rsid w:val="00CF01DC"/>
    <w:rsid w:val="00CF05F6"/>
    <w:rsid w:val="00CF78D1"/>
    <w:rsid w:val="00D01422"/>
    <w:rsid w:val="00D0159A"/>
    <w:rsid w:val="00D10A37"/>
    <w:rsid w:val="00D16A72"/>
    <w:rsid w:val="00D21380"/>
    <w:rsid w:val="00D21682"/>
    <w:rsid w:val="00D26CB4"/>
    <w:rsid w:val="00D3331D"/>
    <w:rsid w:val="00D357E2"/>
    <w:rsid w:val="00D51387"/>
    <w:rsid w:val="00D63AF0"/>
    <w:rsid w:val="00D74195"/>
    <w:rsid w:val="00D760A5"/>
    <w:rsid w:val="00D81CB6"/>
    <w:rsid w:val="00D8385A"/>
    <w:rsid w:val="00D91D11"/>
    <w:rsid w:val="00D933BA"/>
    <w:rsid w:val="00D973EE"/>
    <w:rsid w:val="00D979B4"/>
    <w:rsid w:val="00DA556C"/>
    <w:rsid w:val="00DA7354"/>
    <w:rsid w:val="00DC29EE"/>
    <w:rsid w:val="00DD1A4B"/>
    <w:rsid w:val="00DD4EBC"/>
    <w:rsid w:val="00DE1613"/>
    <w:rsid w:val="00DE3ECF"/>
    <w:rsid w:val="00DE3F98"/>
    <w:rsid w:val="00DE6BF0"/>
    <w:rsid w:val="00E00E86"/>
    <w:rsid w:val="00E01071"/>
    <w:rsid w:val="00E04E22"/>
    <w:rsid w:val="00E063E4"/>
    <w:rsid w:val="00E21086"/>
    <w:rsid w:val="00E2132B"/>
    <w:rsid w:val="00E22A18"/>
    <w:rsid w:val="00E22BC6"/>
    <w:rsid w:val="00E22C43"/>
    <w:rsid w:val="00E31C83"/>
    <w:rsid w:val="00E3510C"/>
    <w:rsid w:val="00E4397F"/>
    <w:rsid w:val="00E47FB6"/>
    <w:rsid w:val="00E5626D"/>
    <w:rsid w:val="00E80E28"/>
    <w:rsid w:val="00E972BC"/>
    <w:rsid w:val="00EA03F5"/>
    <w:rsid w:val="00EA5D11"/>
    <w:rsid w:val="00EB13D8"/>
    <w:rsid w:val="00EB38F5"/>
    <w:rsid w:val="00EB3A52"/>
    <w:rsid w:val="00EB7205"/>
    <w:rsid w:val="00EC5464"/>
    <w:rsid w:val="00EF0EFE"/>
    <w:rsid w:val="00EF1BB3"/>
    <w:rsid w:val="00EF2093"/>
    <w:rsid w:val="00EF6B02"/>
    <w:rsid w:val="00EF7344"/>
    <w:rsid w:val="00F10720"/>
    <w:rsid w:val="00F20FDB"/>
    <w:rsid w:val="00F24DDB"/>
    <w:rsid w:val="00F2572A"/>
    <w:rsid w:val="00F25AA0"/>
    <w:rsid w:val="00F421AE"/>
    <w:rsid w:val="00F474DC"/>
    <w:rsid w:val="00F628EE"/>
    <w:rsid w:val="00F737C5"/>
    <w:rsid w:val="00F8078D"/>
    <w:rsid w:val="00F85A11"/>
    <w:rsid w:val="00F969EB"/>
    <w:rsid w:val="00FA07D2"/>
    <w:rsid w:val="00FA1294"/>
    <w:rsid w:val="00FA380D"/>
    <w:rsid w:val="00FA5A23"/>
    <w:rsid w:val="00FB3A07"/>
    <w:rsid w:val="00FC18C3"/>
    <w:rsid w:val="00FC4CAF"/>
    <w:rsid w:val="00FD5AFA"/>
    <w:rsid w:val="00FE16B4"/>
    <w:rsid w:val="00FE7DB6"/>
    <w:rsid w:val="00FE7F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de-CH" w:eastAsia="de-CH"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4CAF"/>
    <w:pPr>
      <w:spacing w:line="240" w:lineRule="atLeast"/>
    </w:pPr>
    <w:rPr>
      <w:rFonts w:ascii="Georgia" w:hAnsi="Georgia"/>
      <w:sz w:val="20"/>
      <w:lang w:val="en-GB" w:eastAsia="en-US"/>
    </w:rPr>
  </w:style>
  <w:style w:type="paragraph" w:styleId="Heading1">
    <w:name w:val="heading 1"/>
    <w:basedOn w:val="Normal"/>
    <w:next w:val="Normal"/>
    <w:link w:val="Heading1Char"/>
    <w:uiPriority w:val="99"/>
    <w:qFormat/>
    <w:rsid w:val="00FC4CAF"/>
    <w:pPr>
      <w:keepNext/>
      <w:spacing w:before="240" w:after="60" w:line="240" w:lineRule="auto"/>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C4CAF"/>
    <w:rPr>
      <w:rFonts w:ascii="Cambria" w:hAnsi="Cambria" w:cs="Times New Roman"/>
      <w:b/>
      <w:bCs/>
      <w:kern w:val="32"/>
      <w:sz w:val="32"/>
      <w:szCs w:val="32"/>
    </w:rPr>
  </w:style>
  <w:style w:type="paragraph" w:styleId="Header">
    <w:name w:val="header"/>
    <w:basedOn w:val="Normal"/>
    <w:link w:val="HeaderChar"/>
    <w:uiPriority w:val="99"/>
    <w:semiHidden/>
    <w:rsid w:val="00FC4CAF"/>
    <w:pPr>
      <w:tabs>
        <w:tab w:val="center" w:pos="4513"/>
        <w:tab w:val="right" w:pos="9026"/>
      </w:tabs>
      <w:spacing w:line="240" w:lineRule="auto"/>
    </w:pPr>
  </w:style>
  <w:style w:type="character" w:customStyle="1" w:styleId="HeaderChar">
    <w:name w:val="Header Char"/>
    <w:basedOn w:val="DefaultParagraphFont"/>
    <w:link w:val="Header"/>
    <w:uiPriority w:val="99"/>
    <w:semiHidden/>
    <w:locked/>
    <w:rsid w:val="00FC4CAF"/>
    <w:rPr>
      <w:rFonts w:cs="Times New Roman"/>
    </w:rPr>
  </w:style>
  <w:style w:type="paragraph" w:styleId="Footer">
    <w:name w:val="footer"/>
    <w:basedOn w:val="Normal"/>
    <w:link w:val="FooterChar"/>
    <w:uiPriority w:val="99"/>
    <w:semiHidden/>
    <w:rsid w:val="00FC4CAF"/>
    <w:pPr>
      <w:tabs>
        <w:tab w:val="center" w:pos="4513"/>
        <w:tab w:val="right" w:pos="9026"/>
      </w:tabs>
      <w:spacing w:line="240" w:lineRule="auto"/>
    </w:pPr>
  </w:style>
  <w:style w:type="character" w:customStyle="1" w:styleId="FooterChar">
    <w:name w:val="Footer Char"/>
    <w:basedOn w:val="DefaultParagraphFont"/>
    <w:link w:val="Footer"/>
    <w:uiPriority w:val="99"/>
    <w:semiHidden/>
    <w:locked/>
    <w:rsid w:val="00FC4CAF"/>
    <w:rPr>
      <w:rFonts w:cs="Times New Roman"/>
    </w:rPr>
  </w:style>
  <w:style w:type="paragraph" w:styleId="BodyText">
    <w:name w:val="Body Text"/>
    <w:basedOn w:val="Normal"/>
    <w:link w:val="BodyTextChar"/>
    <w:uiPriority w:val="99"/>
    <w:semiHidden/>
    <w:rsid w:val="00FC4CAF"/>
    <w:pPr>
      <w:spacing w:after="240"/>
    </w:pPr>
  </w:style>
  <w:style w:type="character" w:customStyle="1" w:styleId="BodyTextChar">
    <w:name w:val="Body Text Char"/>
    <w:basedOn w:val="DefaultParagraphFont"/>
    <w:link w:val="BodyText"/>
    <w:uiPriority w:val="99"/>
    <w:semiHidden/>
    <w:locked/>
    <w:rsid w:val="00FC4CAF"/>
    <w:rPr>
      <w:rFonts w:ascii="Georgia" w:hAnsi="Georgia" w:cs="Times New Roman"/>
      <w:sz w:val="20"/>
    </w:rPr>
  </w:style>
  <w:style w:type="paragraph" w:styleId="Title">
    <w:name w:val="Title"/>
    <w:basedOn w:val="Normal"/>
    <w:next w:val="Normal"/>
    <w:link w:val="TitleChar"/>
    <w:uiPriority w:val="99"/>
    <w:qFormat/>
    <w:rsid w:val="00FC4CAF"/>
    <w:pPr>
      <w:pBdr>
        <w:top w:val="single" w:sz="8" w:space="1" w:color="DC6900"/>
      </w:pBdr>
      <w:spacing w:after="240" w:line="240" w:lineRule="auto"/>
      <w:contextualSpacing/>
    </w:pPr>
    <w:rPr>
      <w:rFonts w:ascii="Cambria" w:eastAsia="Times New Roman" w:hAnsi="Cambria"/>
      <w:b/>
      <w:i/>
      <w:color w:val="000000"/>
      <w:spacing w:val="5"/>
      <w:kern w:val="28"/>
      <w:sz w:val="24"/>
      <w:szCs w:val="52"/>
    </w:rPr>
  </w:style>
  <w:style w:type="character" w:customStyle="1" w:styleId="TitleChar">
    <w:name w:val="Title Char"/>
    <w:basedOn w:val="DefaultParagraphFont"/>
    <w:link w:val="Title"/>
    <w:uiPriority w:val="99"/>
    <w:locked/>
    <w:rsid w:val="00FC4CAF"/>
    <w:rPr>
      <w:rFonts w:ascii="Cambria" w:hAnsi="Cambria" w:cs="Times New Roman"/>
      <w:b/>
      <w:i/>
      <w:color w:val="000000"/>
      <w:spacing w:val="5"/>
      <w:kern w:val="28"/>
      <w:sz w:val="52"/>
      <w:szCs w:val="52"/>
    </w:rPr>
  </w:style>
  <w:style w:type="paragraph" w:customStyle="1" w:styleId="Address">
    <w:name w:val="Address"/>
    <w:basedOn w:val="Normal"/>
    <w:link w:val="AddressChar"/>
    <w:uiPriority w:val="99"/>
    <w:rsid w:val="00FC4CAF"/>
    <w:pPr>
      <w:spacing w:line="200" w:lineRule="atLeast"/>
    </w:pPr>
    <w:rPr>
      <w:i/>
      <w:sz w:val="18"/>
    </w:rPr>
  </w:style>
  <w:style w:type="character" w:customStyle="1" w:styleId="AddressChar">
    <w:name w:val="Address Char"/>
    <w:basedOn w:val="DefaultParagraphFont"/>
    <w:link w:val="Address"/>
    <w:uiPriority w:val="99"/>
    <w:locked/>
    <w:rsid w:val="00FC4CAF"/>
    <w:rPr>
      <w:rFonts w:ascii="Georgia" w:hAnsi="Georgia" w:cs="Times New Roman"/>
      <w:i/>
      <w:sz w:val="18"/>
    </w:rPr>
  </w:style>
  <w:style w:type="paragraph" w:customStyle="1" w:styleId="Disclaimer">
    <w:name w:val="Disclaimer"/>
    <w:basedOn w:val="Normal"/>
    <w:link w:val="DisclaimerChar"/>
    <w:uiPriority w:val="99"/>
    <w:rsid w:val="00FC4CAF"/>
    <w:pPr>
      <w:spacing w:line="140" w:lineRule="atLeast"/>
    </w:pPr>
    <w:rPr>
      <w:rFonts w:ascii="Arial" w:hAnsi="Arial" w:cs="Arial"/>
      <w:sz w:val="12"/>
    </w:rPr>
  </w:style>
  <w:style w:type="character" w:customStyle="1" w:styleId="DisclaimerChar">
    <w:name w:val="Disclaimer Char"/>
    <w:basedOn w:val="DefaultParagraphFont"/>
    <w:link w:val="Disclaimer"/>
    <w:uiPriority w:val="99"/>
    <w:locked/>
    <w:rsid w:val="00FC4CAF"/>
    <w:rPr>
      <w:rFonts w:ascii="Arial" w:hAnsi="Arial" w:cs="Arial"/>
      <w:sz w:val="12"/>
    </w:rPr>
  </w:style>
  <w:style w:type="paragraph" w:styleId="ListParagraph">
    <w:name w:val="List Paragraph"/>
    <w:basedOn w:val="Normal"/>
    <w:uiPriority w:val="34"/>
    <w:qFormat/>
    <w:rsid w:val="00FC4CAF"/>
    <w:pPr>
      <w:ind w:left="720"/>
      <w:contextualSpacing/>
    </w:pPr>
  </w:style>
  <w:style w:type="character" w:styleId="Hyperlink">
    <w:name w:val="Hyperlink"/>
    <w:basedOn w:val="DefaultParagraphFont"/>
    <w:uiPriority w:val="99"/>
    <w:unhideWhenUsed/>
    <w:rsid w:val="00FC4CAF"/>
    <w:rPr>
      <w:color w:val="0000FF" w:themeColor="hyperlink"/>
      <w:u w:val="single"/>
    </w:rPr>
  </w:style>
  <w:style w:type="paragraph" w:styleId="NormalWeb">
    <w:name w:val="Normal (Web)"/>
    <w:basedOn w:val="Normal"/>
    <w:rsid w:val="00FC4CAF"/>
    <w:pPr>
      <w:spacing w:before="100" w:beforeAutospacing="1" w:after="100" w:afterAutospacing="1" w:line="240" w:lineRule="auto"/>
    </w:pPr>
    <w:rPr>
      <w:rFonts w:ascii="Times New Roman" w:hAnsi="Times New Roman"/>
      <w:sz w:val="24"/>
      <w:szCs w:val="24"/>
      <w:lang w:val="en-US"/>
    </w:rPr>
  </w:style>
  <w:style w:type="paragraph" w:styleId="BalloonText">
    <w:name w:val="Balloon Text"/>
    <w:basedOn w:val="Normal"/>
    <w:link w:val="BalloonTextChar"/>
    <w:uiPriority w:val="99"/>
    <w:semiHidden/>
    <w:unhideWhenUsed/>
    <w:rsid w:val="00FC4C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4CAF"/>
    <w:rPr>
      <w:rFonts w:ascii="Tahoma" w:hAnsi="Tahoma" w:cs="Tahoma"/>
      <w:sz w:val="16"/>
      <w:szCs w:val="16"/>
      <w:lang w:val="en-GB" w:eastAsia="en-US"/>
    </w:rPr>
  </w:style>
  <w:style w:type="character" w:styleId="CommentReference">
    <w:name w:val="annotation reference"/>
    <w:basedOn w:val="DefaultParagraphFont"/>
    <w:uiPriority w:val="99"/>
    <w:semiHidden/>
    <w:unhideWhenUsed/>
    <w:rsid w:val="00FC4CAF"/>
    <w:rPr>
      <w:sz w:val="16"/>
      <w:szCs w:val="16"/>
    </w:rPr>
  </w:style>
  <w:style w:type="paragraph" w:styleId="CommentText">
    <w:name w:val="annotation text"/>
    <w:basedOn w:val="Normal"/>
    <w:link w:val="CommentTextChar"/>
    <w:uiPriority w:val="99"/>
    <w:semiHidden/>
    <w:unhideWhenUsed/>
    <w:rsid w:val="00FC4CAF"/>
    <w:pPr>
      <w:spacing w:line="240" w:lineRule="auto"/>
    </w:pPr>
    <w:rPr>
      <w:szCs w:val="20"/>
    </w:rPr>
  </w:style>
  <w:style w:type="character" w:customStyle="1" w:styleId="CommentTextChar">
    <w:name w:val="Comment Text Char"/>
    <w:basedOn w:val="DefaultParagraphFont"/>
    <w:link w:val="CommentText"/>
    <w:uiPriority w:val="99"/>
    <w:semiHidden/>
    <w:rsid w:val="00FC4CAF"/>
    <w:rPr>
      <w:rFonts w:ascii="Georgia" w:hAnsi="Georgia"/>
      <w:sz w:val="20"/>
      <w:szCs w:val="20"/>
      <w:lang w:val="en-GB" w:eastAsia="en-US"/>
    </w:rPr>
  </w:style>
  <w:style w:type="paragraph" w:styleId="CommentSubject">
    <w:name w:val="annotation subject"/>
    <w:basedOn w:val="CommentText"/>
    <w:next w:val="CommentText"/>
    <w:link w:val="CommentSubjectChar"/>
    <w:uiPriority w:val="99"/>
    <w:semiHidden/>
    <w:unhideWhenUsed/>
    <w:rsid w:val="00FC4CAF"/>
    <w:rPr>
      <w:b/>
      <w:bCs/>
    </w:rPr>
  </w:style>
  <w:style w:type="character" w:customStyle="1" w:styleId="CommentSubjectChar">
    <w:name w:val="Comment Subject Char"/>
    <w:basedOn w:val="CommentTextChar"/>
    <w:link w:val="CommentSubject"/>
    <w:uiPriority w:val="99"/>
    <w:semiHidden/>
    <w:rsid w:val="00FC4CAF"/>
    <w:rPr>
      <w:rFonts w:ascii="Georgia" w:hAnsi="Georgia"/>
      <w:b/>
      <w:bCs/>
      <w:sz w:val="20"/>
      <w:szCs w:val="20"/>
      <w:lang w:val="en-GB" w:eastAsia="en-US"/>
    </w:rPr>
  </w:style>
  <w:style w:type="paragraph" w:customStyle="1" w:styleId="Default">
    <w:name w:val="Default"/>
    <w:rsid w:val="00C336A9"/>
    <w:pPr>
      <w:autoSpaceDE w:val="0"/>
      <w:autoSpaceDN w:val="0"/>
      <w:adjustRightInd w:val="0"/>
    </w:pPr>
    <w:rPr>
      <w:rFonts w:ascii="Georgia" w:hAnsi="Georgia" w:cs="Georgia"/>
      <w:color w:val="000000"/>
      <w:sz w:val="24"/>
      <w:szCs w:val="24"/>
      <w:lang w:val="en-US"/>
    </w:rPr>
  </w:style>
  <w:style w:type="table" w:styleId="TableGrid">
    <w:name w:val="Table Grid"/>
    <w:basedOn w:val="TableNormal"/>
    <w:uiPriority w:val="59"/>
    <w:locked/>
    <w:rsid w:val="004C24C2"/>
    <w:rPr>
      <w:rFonts w:ascii="Georgia" w:eastAsiaTheme="minorHAnsi" w:hAnsi="Georgia" w:cstheme="minorBid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252460"/>
    <w:rPr>
      <w:color w:val="800080" w:themeColor="followedHyperlink"/>
      <w:u w:val="single"/>
    </w:rPr>
  </w:style>
  <w:style w:type="character" w:customStyle="1" w:styleId="A5">
    <w:name w:val="A5"/>
    <w:uiPriority w:val="99"/>
    <w:rsid w:val="00896ED4"/>
    <w:rPr>
      <w:rFonts w:cs="ITC Charter Com"/>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de-CH" w:eastAsia="de-CH"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4CAF"/>
    <w:pPr>
      <w:spacing w:line="240" w:lineRule="atLeast"/>
    </w:pPr>
    <w:rPr>
      <w:rFonts w:ascii="Georgia" w:hAnsi="Georgia"/>
      <w:sz w:val="20"/>
      <w:lang w:val="en-GB" w:eastAsia="en-US"/>
    </w:rPr>
  </w:style>
  <w:style w:type="paragraph" w:styleId="Heading1">
    <w:name w:val="heading 1"/>
    <w:basedOn w:val="Normal"/>
    <w:next w:val="Normal"/>
    <w:link w:val="Heading1Char"/>
    <w:uiPriority w:val="99"/>
    <w:qFormat/>
    <w:rsid w:val="00FC4CAF"/>
    <w:pPr>
      <w:keepNext/>
      <w:spacing w:before="240" w:after="60" w:line="240" w:lineRule="auto"/>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C4CAF"/>
    <w:rPr>
      <w:rFonts w:ascii="Cambria" w:hAnsi="Cambria" w:cs="Times New Roman"/>
      <w:b/>
      <w:bCs/>
      <w:kern w:val="32"/>
      <w:sz w:val="32"/>
      <w:szCs w:val="32"/>
    </w:rPr>
  </w:style>
  <w:style w:type="paragraph" w:styleId="Header">
    <w:name w:val="header"/>
    <w:basedOn w:val="Normal"/>
    <w:link w:val="HeaderChar"/>
    <w:uiPriority w:val="99"/>
    <w:semiHidden/>
    <w:rsid w:val="00FC4CAF"/>
    <w:pPr>
      <w:tabs>
        <w:tab w:val="center" w:pos="4513"/>
        <w:tab w:val="right" w:pos="9026"/>
      </w:tabs>
      <w:spacing w:line="240" w:lineRule="auto"/>
    </w:pPr>
  </w:style>
  <w:style w:type="character" w:customStyle="1" w:styleId="HeaderChar">
    <w:name w:val="Header Char"/>
    <w:basedOn w:val="DefaultParagraphFont"/>
    <w:link w:val="Header"/>
    <w:uiPriority w:val="99"/>
    <w:semiHidden/>
    <w:locked/>
    <w:rsid w:val="00FC4CAF"/>
    <w:rPr>
      <w:rFonts w:cs="Times New Roman"/>
    </w:rPr>
  </w:style>
  <w:style w:type="paragraph" w:styleId="Footer">
    <w:name w:val="footer"/>
    <w:basedOn w:val="Normal"/>
    <w:link w:val="FooterChar"/>
    <w:uiPriority w:val="99"/>
    <w:semiHidden/>
    <w:rsid w:val="00FC4CAF"/>
    <w:pPr>
      <w:tabs>
        <w:tab w:val="center" w:pos="4513"/>
        <w:tab w:val="right" w:pos="9026"/>
      </w:tabs>
      <w:spacing w:line="240" w:lineRule="auto"/>
    </w:pPr>
  </w:style>
  <w:style w:type="character" w:customStyle="1" w:styleId="FooterChar">
    <w:name w:val="Footer Char"/>
    <w:basedOn w:val="DefaultParagraphFont"/>
    <w:link w:val="Footer"/>
    <w:uiPriority w:val="99"/>
    <w:semiHidden/>
    <w:locked/>
    <w:rsid w:val="00FC4CAF"/>
    <w:rPr>
      <w:rFonts w:cs="Times New Roman"/>
    </w:rPr>
  </w:style>
  <w:style w:type="paragraph" w:styleId="BodyText">
    <w:name w:val="Body Text"/>
    <w:basedOn w:val="Normal"/>
    <w:link w:val="BodyTextChar"/>
    <w:uiPriority w:val="99"/>
    <w:semiHidden/>
    <w:rsid w:val="00FC4CAF"/>
    <w:pPr>
      <w:spacing w:after="240"/>
    </w:pPr>
  </w:style>
  <w:style w:type="character" w:customStyle="1" w:styleId="BodyTextChar">
    <w:name w:val="Body Text Char"/>
    <w:basedOn w:val="DefaultParagraphFont"/>
    <w:link w:val="BodyText"/>
    <w:uiPriority w:val="99"/>
    <w:semiHidden/>
    <w:locked/>
    <w:rsid w:val="00FC4CAF"/>
    <w:rPr>
      <w:rFonts w:ascii="Georgia" w:hAnsi="Georgia" w:cs="Times New Roman"/>
      <w:sz w:val="20"/>
    </w:rPr>
  </w:style>
  <w:style w:type="paragraph" w:styleId="Title">
    <w:name w:val="Title"/>
    <w:basedOn w:val="Normal"/>
    <w:next w:val="Normal"/>
    <w:link w:val="TitleChar"/>
    <w:uiPriority w:val="99"/>
    <w:qFormat/>
    <w:rsid w:val="00FC4CAF"/>
    <w:pPr>
      <w:pBdr>
        <w:top w:val="single" w:sz="8" w:space="1" w:color="DC6900"/>
      </w:pBdr>
      <w:spacing w:after="240" w:line="240" w:lineRule="auto"/>
      <w:contextualSpacing/>
    </w:pPr>
    <w:rPr>
      <w:rFonts w:ascii="Cambria" w:eastAsia="Times New Roman" w:hAnsi="Cambria"/>
      <w:b/>
      <w:i/>
      <w:color w:val="000000"/>
      <w:spacing w:val="5"/>
      <w:kern w:val="28"/>
      <w:sz w:val="24"/>
      <w:szCs w:val="52"/>
    </w:rPr>
  </w:style>
  <w:style w:type="character" w:customStyle="1" w:styleId="TitleChar">
    <w:name w:val="Title Char"/>
    <w:basedOn w:val="DefaultParagraphFont"/>
    <w:link w:val="Title"/>
    <w:uiPriority w:val="99"/>
    <w:locked/>
    <w:rsid w:val="00FC4CAF"/>
    <w:rPr>
      <w:rFonts w:ascii="Cambria" w:hAnsi="Cambria" w:cs="Times New Roman"/>
      <w:b/>
      <w:i/>
      <w:color w:val="000000"/>
      <w:spacing w:val="5"/>
      <w:kern w:val="28"/>
      <w:sz w:val="52"/>
      <w:szCs w:val="52"/>
    </w:rPr>
  </w:style>
  <w:style w:type="paragraph" w:customStyle="1" w:styleId="Address">
    <w:name w:val="Address"/>
    <w:basedOn w:val="Normal"/>
    <w:link w:val="AddressChar"/>
    <w:uiPriority w:val="99"/>
    <w:rsid w:val="00FC4CAF"/>
    <w:pPr>
      <w:spacing w:line="200" w:lineRule="atLeast"/>
    </w:pPr>
    <w:rPr>
      <w:i/>
      <w:sz w:val="18"/>
    </w:rPr>
  </w:style>
  <w:style w:type="character" w:customStyle="1" w:styleId="AddressChar">
    <w:name w:val="Address Char"/>
    <w:basedOn w:val="DefaultParagraphFont"/>
    <w:link w:val="Address"/>
    <w:uiPriority w:val="99"/>
    <w:locked/>
    <w:rsid w:val="00FC4CAF"/>
    <w:rPr>
      <w:rFonts w:ascii="Georgia" w:hAnsi="Georgia" w:cs="Times New Roman"/>
      <w:i/>
      <w:sz w:val="18"/>
    </w:rPr>
  </w:style>
  <w:style w:type="paragraph" w:customStyle="1" w:styleId="Disclaimer">
    <w:name w:val="Disclaimer"/>
    <w:basedOn w:val="Normal"/>
    <w:link w:val="DisclaimerChar"/>
    <w:uiPriority w:val="99"/>
    <w:rsid w:val="00FC4CAF"/>
    <w:pPr>
      <w:spacing w:line="140" w:lineRule="atLeast"/>
    </w:pPr>
    <w:rPr>
      <w:rFonts w:ascii="Arial" w:hAnsi="Arial" w:cs="Arial"/>
      <w:sz w:val="12"/>
    </w:rPr>
  </w:style>
  <w:style w:type="character" w:customStyle="1" w:styleId="DisclaimerChar">
    <w:name w:val="Disclaimer Char"/>
    <w:basedOn w:val="DefaultParagraphFont"/>
    <w:link w:val="Disclaimer"/>
    <w:uiPriority w:val="99"/>
    <w:locked/>
    <w:rsid w:val="00FC4CAF"/>
    <w:rPr>
      <w:rFonts w:ascii="Arial" w:hAnsi="Arial" w:cs="Arial"/>
      <w:sz w:val="12"/>
    </w:rPr>
  </w:style>
  <w:style w:type="paragraph" w:styleId="ListParagraph">
    <w:name w:val="List Paragraph"/>
    <w:basedOn w:val="Normal"/>
    <w:uiPriority w:val="34"/>
    <w:qFormat/>
    <w:rsid w:val="00FC4CAF"/>
    <w:pPr>
      <w:ind w:left="720"/>
      <w:contextualSpacing/>
    </w:pPr>
  </w:style>
  <w:style w:type="character" w:styleId="Hyperlink">
    <w:name w:val="Hyperlink"/>
    <w:basedOn w:val="DefaultParagraphFont"/>
    <w:uiPriority w:val="99"/>
    <w:unhideWhenUsed/>
    <w:rsid w:val="00FC4CAF"/>
    <w:rPr>
      <w:color w:val="0000FF" w:themeColor="hyperlink"/>
      <w:u w:val="single"/>
    </w:rPr>
  </w:style>
  <w:style w:type="paragraph" w:styleId="NormalWeb">
    <w:name w:val="Normal (Web)"/>
    <w:basedOn w:val="Normal"/>
    <w:rsid w:val="00FC4CAF"/>
    <w:pPr>
      <w:spacing w:before="100" w:beforeAutospacing="1" w:after="100" w:afterAutospacing="1" w:line="240" w:lineRule="auto"/>
    </w:pPr>
    <w:rPr>
      <w:rFonts w:ascii="Times New Roman" w:hAnsi="Times New Roman"/>
      <w:sz w:val="24"/>
      <w:szCs w:val="24"/>
      <w:lang w:val="en-US"/>
    </w:rPr>
  </w:style>
  <w:style w:type="paragraph" w:styleId="BalloonText">
    <w:name w:val="Balloon Text"/>
    <w:basedOn w:val="Normal"/>
    <w:link w:val="BalloonTextChar"/>
    <w:uiPriority w:val="99"/>
    <w:semiHidden/>
    <w:unhideWhenUsed/>
    <w:rsid w:val="00FC4C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4CAF"/>
    <w:rPr>
      <w:rFonts w:ascii="Tahoma" w:hAnsi="Tahoma" w:cs="Tahoma"/>
      <w:sz w:val="16"/>
      <w:szCs w:val="16"/>
      <w:lang w:val="en-GB" w:eastAsia="en-US"/>
    </w:rPr>
  </w:style>
  <w:style w:type="character" w:styleId="CommentReference">
    <w:name w:val="annotation reference"/>
    <w:basedOn w:val="DefaultParagraphFont"/>
    <w:uiPriority w:val="99"/>
    <w:semiHidden/>
    <w:unhideWhenUsed/>
    <w:rsid w:val="00FC4CAF"/>
    <w:rPr>
      <w:sz w:val="16"/>
      <w:szCs w:val="16"/>
    </w:rPr>
  </w:style>
  <w:style w:type="paragraph" w:styleId="CommentText">
    <w:name w:val="annotation text"/>
    <w:basedOn w:val="Normal"/>
    <w:link w:val="CommentTextChar"/>
    <w:uiPriority w:val="99"/>
    <w:semiHidden/>
    <w:unhideWhenUsed/>
    <w:rsid w:val="00FC4CAF"/>
    <w:pPr>
      <w:spacing w:line="240" w:lineRule="auto"/>
    </w:pPr>
    <w:rPr>
      <w:szCs w:val="20"/>
    </w:rPr>
  </w:style>
  <w:style w:type="character" w:customStyle="1" w:styleId="CommentTextChar">
    <w:name w:val="Comment Text Char"/>
    <w:basedOn w:val="DefaultParagraphFont"/>
    <w:link w:val="CommentText"/>
    <w:uiPriority w:val="99"/>
    <w:semiHidden/>
    <w:rsid w:val="00FC4CAF"/>
    <w:rPr>
      <w:rFonts w:ascii="Georgia" w:hAnsi="Georgia"/>
      <w:sz w:val="20"/>
      <w:szCs w:val="20"/>
      <w:lang w:val="en-GB" w:eastAsia="en-US"/>
    </w:rPr>
  </w:style>
  <w:style w:type="paragraph" w:styleId="CommentSubject">
    <w:name w:val="annotation subject"/>
    <w:basedOn w:val="CommentText"/>
    <w:next w:val="CommentText"/>
    <w:link w:val="CommentSubjectChar"/>
    <w:uiPriority w:val="99"/>
    <w:semiHidden/>
    <w:unhideWhenUsed/>
    <w:rsid w:val="00FC4CAF"/>
    <w:rPr>
      <w:b/>
      <w:bCs/>
    </w:rPr>
  </w:style>
  <w:style w:type="character" w:customStyle="1" w:styleId="CommentSubjectChar">
    <w:name w:val="Comment Subject Char"/>
    <w:basedOn w:val="CommentTextChar"/>
    <w:link w:val="CommentSubject"/>
    <w:uiPriority w:val="99"/>
    <w:semiHidden/>
    <w:rsid w:val="00FC4CAF"/>
    <w:rPr>
      <w:rFonts w:ascii="Georgia" w:hAnsi="Georgia"/>
      <w:b/>
      <w:bCs/>
      <w:sz w:val="20"/>
      <w:szCs w:val="20"/>
      <w:lang w:val="en-GB" w:eastAsia="en-US"/>
    </w:rPr>
  </w:style>
  <w:style w:type="paragraph" w:customStyle="1" w:styleId="Default">
    <w:name w:val="Default"/>
    <w:rsid w:val="00C336A9"/>
    <w:pPr>
      <w:autoSpaceDE w:val="0"/>
      <w:autoSpaceDN w:val="0"/>
      <w:adjustRightInd w:val="0"/>
    </w:pPr>
    <w:rPr>
      <w:rFonts w:ascii="Georgia" w:hAnsi="Georgia" w:cs="Georgia"/>
      <w:color w:val="000000"/>
      <w:sz w:val="24"/>
      <w:szCs w:val="24"/>
      <w:lang w:val="en-US"/>
    </w:rPr>
  </w:style>
  <w:style w:type="table" w:styleId="TableGrid">
    <w:name w:val="Table Grid"/>
    <w:basedOn w:val="TableNormal"/>
    <w:uiPriority w:val="59"/>
    <w:locked/>
    <w:rsid w:val="004C24C2"/>
    <w:rPr>
      <w:rFonts w:ascii="Georgia" w:eastAsiaTheme="minorHAnsi" w:hAnsi="Georgia" w:cstheme="minorBid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252460"/>
    <w:rPr>
      <w:color w:val="800080" w:themeColor="followedHyperlink"/>
      <w:u w:val="single"/>
    </w:rPr>
  </w:style>
  <w:style w:type="character" w:customStyle="1" w:styleId="A5">
    <w:name w:val="A5"/>
    <w:uiPriority w:val="99"/>
    <w:rsid w:val="00896ED4"/>
    <w:rPr>
      <w:rFonts w:cs="ITC Charter Com"/>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3806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pwc.com"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hollingdale\AppData\Local\Microsoft\Windows\Temporary%20Internet%20Files\Content.Outlook\QVFKR2U3\News%20release%20a4%20no%20disclaimer%20colou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E24B69-88AF-4659-AB29-1DB9BC5AB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 release a4 no disclaimer colour.dotx</Template>
  <TotalTime>0</TotalTime>
  <Pages>4</Pages>
  <Words>1255</Words>
  <Characters>7157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News release</vt:lpstr>
    </vt:vector>
  </TitlesOfParts>
  <Company>PricewaterhouseCoopers</Company>
  <LinksUpToDate>false</LinksUpToDate>
  <CharactersWithSpaces>8396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creator>Martyn Hollingdale</dc:creator>
  <cp:lastModifiedBy>Andrea</cp:lastModifiedBy>
  <cp:revision>2</cp:revision>
  <cp:lastPrinted>2014-04-29T00:21:00Z</cp:lastPrinted>
  <dcterms:created xsi:type="dcterms:W3CDTF">2014-05-05T19:36:00Z</dcterms:created>
  <dcterms:modified xsi:type="dcterms:W3CDTF">2014-05-05T19:36:00Z</dcterms:modified>
</cp:coreProperties>
</file>