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94" w:rsidRDefault="00DF1CB4">
      <w:pPr>
        <w:tabs>
          <w:tab w:val="center" w:pos="4536"/>
        </w:tabs>
        <w:rPr>
          <w:i/>
        </w:rPr>
      </w:pPr>
      <w:r>
        <w:rPr>
          <w:i/>
        </w:rPr>
        <w:tab/>
      </w:r>
    </w:p>
    <w:p w:rsidR="006A5C94" w:rsidRDefault="00CC03E8">
      <w:pPr>
        <w:pStyle w:val="Title"/>
        <w:rPr>
          <w:rFonts w:ascii="Georgia" w:hAnsi="Georgia"/>
        </w:rPr>
      </w:pPr>
      <w:r>
        <w:rPr>
          <w:rFonts w:ascii="Georgia" w:hAnsi="Georgia"/>
        </w:rPr>
        <w:t>Press r</w:t>
      </w:r>
      <w:r w:rsidR="00DF1CB4">
        <w:rPr>
          <w:rFonts w:ascii="Georgia" w:hAnsi="Georgia"/>
        </w:rPr>
        <w:t>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6A5C94">
        <w:tc>
          <w:tcPr>
            <w:tcW w:w="2268" w:type="dxa"/>
          </w:tcPr>
          <w:p w:rsidR="006A5C94" w:rsidRDefault="00DF1CB4">
            <w:pPr>
              <w:rPr>
                <w:i/>
              </w:rPr>
            </w:pPr>
            <w:r>
              <w:rPr>
                <w:i/>
              </w:rPr>
              <w:t>Date</w:t>
            </w:r>
          </w:p>
        </w:tc>
        <w:tc>
          <w:tcPr>
            <w:tcW w:w="5211" w:type="dxa"/>
          </w:tcPr>
          <w:p w:rsidR="006A5C94" w:rsidRPr="00565DD1" w:rsidRDefault="003D2D73">
            <w:pPr>
              <w:autoSpaceDE w:val="0"/>
              <w:autoSpaceDN w:val="0"/>
              <w:adjustRightInd w:val="0"/>
              <w:spacing w:line="240" w:lineRule="auto"/>
              <w:rPr>
                <w:rFonts w:cs="Helv"/>
                <w:b/>
                <w:color w:val="000000"/>
                <w:szCs w:val="20"/>
                <w:lang w:eastAsia="en-GB"/>
              </w:rPr>
            </w:pPr>
            <w:r w:rsidRPr="00565DD1">
              <w:rPr>
                <w:rFonts w:cs="Helv"/>
                <w:b/>
                <w:color w:val="000000"/>
                <w:szCs w:val="20"/>
                <w:lang w:eastAsia="en-GB"/>
              </w:rPr>
              <w:t xml:space="preserve">EMBARGOED: </w:t>
            </w:r>
            <w:r w:rsidR="009B79C8" w:rsidRPr="00565DD1">
              <w:rPr>
                <w:rFonts w:cs="Helv"/>
                <w:b/>
                <w:color w:val="000000"/>
                <w:szCs w:val="20"/>
                <w:lang w:eastAsia="en-GB"/>
              </w:rPr>
              <w:t xml:space="preserve">9am GMT, 10 </w:t>
            </w:r>
            <w:r w:rsidR="00DA1997" w:rsidRPr="00565DD1">
              <w:rPr>
                <w:rFonts w:cs="Helv"/>
                <w:b/>
                <w:color w:val="000000"/>
                <w:szCs w:val="20"/>
                <w:lang w:eastAsia="en-GB"/>
              </w:rPr>
              <w:t>April</w:t>
            </w:r>
            <w:r w:rsidR="00AA50A3" w:rsidRPr="00565DD1">
              <w:rPr>
                <w:b/>
              </w:rPr>
              <w:t xml:space="preserve"> 2014</w:t>
            </w:r>
          </w:p>
          <w:p w:rsidR="006A5C94" w:rsidRDefault="006A5C94"/>
        </w:tc>
      </w:tr>
      <w:tr w:rsidR="006A5C94" w:rsidRPr="00565DD1">
        <w:tc>
          <w:tcPr>
            <w:tcW w:w="2268" w:type="dxa"/>
          </w:tcPr>
          <w:p w:rsidR="006A5C94" w:rsidRDefault="00DF1CB4">
            <w:pPr>
              <w:rPr>
                <w:i/>
              </w:rPr>
            </w:pPr>
            <w:r>
              <w:rPr>
                <w:i/>
              </w:rPr>
              <w:t>Contact</w:t>
            </w:r>
          </w:p>
          <w:p w:rsidR="006A5C94" w:rsidRDefault="006A5C94">
            <w:pPr>
              <w:rPr>
                <w:i/>
              </w:rPr>
            </w:pPr>
          </w:p>
          <w:p w:rsidR="006A5C94" w:rsidRDefault="006A5C94">
            <w:pPr>
              <w:rPr>
                <w:i/>
              </w:rPr>
            </w:pPr>
          </w:p>
          <w:p w:rsidR="006A5C94" w:rsidRDefault="006A5C94">
            <w:pPr>
              <w:rPr>
                <w:i/>
              </w:rPr>
            </w:pPr>
          </w:p>
          <w:p w:rsidR="006A5C94" w:rsidRDefault="00DF1CB4">
            <w:pPr>
              <w:rPr>
                <w:i/>
              </w:rPr>
            </w:pPr>
            <w:r>
              <w:rPr>
                <w:i/>
              </w:rPr>
              <w:t>Or</w:t>
            </w:r>
          </w:p>
        </w:tc>
        <w:tc>
          <w:tcPr>
            <w:tcW w:w="5211" w:type="dxa"/>
          </w:tcPr>
          <w:p w:rsidR="006A5C94" w:rsidRDefault="007C5EB9">
            <w:pPr>
              <w:tabs>
                <w:tab w:val="left" w:pos="1440"/>
              </w:tabs>
              <w:ind w:left="1440" w:hanging="1440"/>
              <w:rPr>
                <w:rFonts w:cs="Arial"/>
                <w:lang w:val="it-IT"/>
              </w:rPr>
            </w:pPr>
            <w:r w:rsidRPr="007C5EB9">
              <w:rPr>
                <w:rFonts w:cs="Arial"/>
                <w:bCs/>
                <w:lang w:val="it-IT"/>
              </w:rPr>
              <w:t>Hazem Galal</w:t>
            </w:r>
            <w:r w:rsidR="00DF1CB4">
              <w:rPr>
                <w:rFonts w:cs="Arial"/>
                <w:bCs/>
                <w:lang w:val="it-IT"/>
              </w:rPr>
              <w:t>, PwC</w:t>
            </w:r>
          </w:p>
          <w:p w:rsidR="006A5C94" w:rsidRPr="00552957" w:rsidRDefault="00DF1CB4">
            <w:pPr>
              <w:tabs>
                <w:tab w:val="left" w:pos="1440"/>
              </w:tabs>
              <w:ind w:left="1440" w:hanging="1440"/>
              <w:rPr>
                <w:rFonts w:cs="Arial"/>
                <w:lang w:val="it-IT"/>
              </w:rPr>
            </w:pPr>
            <w:r>
              <w:rPr>
                <w:rFonts w:cs="Arial"/>
                <w:lang w:val="it-IT"/>
              </w:rPr>
              <w:t xml:space="preserve">Tel: </w:t>
            </w:r>
            <w:r w:rsidR="007C5EB9" w:rsidRPr="00530A1A">
              <w:rPr>
                <w:lang w:val="de-DE"/>
              </w:rPr>
              <w:t xml:space="preserve"> </w:t>
            </w:r>
            <w:r w:rsidR="008366F0" w:rsidRPr="008366F0">
              <w:rPr>
                <w:rFonts w:cs="Tms Rmn"/>
                <w:color w:val="000000"/>
                <w:szCs w:val="20"/>
                <w:lang w:val="nl-NL" w:eastAsia="en-GB"/>
              </w:rPr>
              <w:t>+971 50 3878518</w:t>
            </w:r>
          </w:p>
          <w:p w:rsidR="006A5C94" w:rsidRPr="00530A1A" w:rsidRDefault="00DF1CB4">
            <w:pPr>
              <w:tabs>
                <w:tab w:val="left" w:pos="1440"/>
              </w:tabs>
              <w:ind w:left="1440" w:hanging="1440"/>
              <w:rPr>
                <w:lang w:val="de-DE"/>
              </w:rPr>
            </w:pPr>
            <w:r>
              <w:rPr>
                <w:rFonts w:cs="Arial"/>
                <w:lang w:val="it-IT"/>
              </w:rPr>
              <w:t xml:space="preserve">e-mail: </w:t>
            </w:r>
            <w:r w:rsidR="007C5EB9" w:rsidRPr="00530A1A">
              <w:rPr>
                <w:lang w:val="de-DE"/>
              </w:rPr>
              <w:t xml:space="preserve"> hazem.galal@qa.pwc.com</w:t>
            </w:r>
          </w:p>
          <w:p w:rsidR="006A5C94" w:rsidRPr="00530A1A" w:rsidRDefault="006A5C94">
            <w:pPr>
              <w:tabs>
                <w:tab w:val="left" w:pos="1440"/>
              </w:tabs>
              <w:ind w:left="1440" w:hanging="1440"/>
              <w:rPr>
                <w:lang w:val="de-DE"/>
              </w:rPr>
            </w:pPr>
          </w:p>
          <w:p w:rsidR="006A5C94" w:rsidRDefault="007C5EB9">
            <w:pPr>
              <w:tabs>
                <w:tab w:val="left" w:pos="1440"/>
              </w:tabs>
              <w:ind w:left="1440" w:hanging="1440"/>
              <w:rPr>
                <w:rFonts w:cs="Arial"/>
                <w:lang w:val="it-IT"/>
              </w:rPr>
            </w:pPr>
            <w:r w:rsidRPr="007C5EB9">
              <w:rPr>
                <w:rFonts w:cs="Arial"/>
                <w:bCs/>
                <w:lang w:val="it-IT"/>
              </w:rPr>
              <w:t>Peter Teunisse</w:t>
            </w:r>
            <w:r w:rsidR="00DF1CB4">
              <w:rPr>
                <w:rFonts w:cs="Arial"/>
                <w:bCs/>
                <w:lang w:val="it-IT"/>
              </w:rPr>
              <w:t>, PwC</w:t>
            </w:r>
          </w:p>
          <w:p w:rsidR="006A5C94" w:rsidRDefault="00DF1CB4">
            <w:pPr>
              <w:tabs>
                <w:tab w:val="left" w:pos="1440"/>
              </w:tabs>
              <w:ind w:left="1440" w:hanging="1440"/>
              <w:rPr>
                <w:rFonts w:cs="Arial"/>
                <w:lang w:val="it-IT"/>
              </w:rPr>
            </w:pPr>
            <w:r>
              <w:rPr>
                <w:rFonts w:cs="Arial"/>
                <w:lang w:val="it-IT"/>
              </w:rPr>
              <w:t xml:space="preserve">Tel: </w:t>
            </w:r>
            <w:r w:rsidR="007C5EB9" w:rsidRPr="007C5EB9">
              <w:rPr>
                <w:rFonts w:cs="Arial"/>
                <w:lang w:val="it-IT"/>
              </w:rPr>
              <w:t>+31 (0) 887927699</w:t>
            </w:r>
          </w:p>
          <w:p w:rsidR="006A5C94" w:rsidRPr="007C5EB9" w:rsidRDefault="00DF1CB4">
            <w:pPr>
              <w:tabs>
                <w:tab w:val="left" w:pos="1440"/>
              </w:tabs>
              <w:ind w:left="1440" w:hanging="1440"/>
              <w:rPr>
                <w:lang w:val="de-DE"/>
              </w:rPr>
            </w:pPr>
            <w:r>
              <w:rPr>
                <w:rFonts w:cs="Arial"/>
                <w:lang w:val="it-IT"/>
              </w:rPr>
              <w:t xml:space="preserve">e-mail: </w:t>
            </w:r>
            <w:r w:rsidR="007C5EB9" w:rsidRPr="007C5EB9">
              <w:rPr>
                <w:lang w:val="de-DE"/>
              </w:rPr>
              <w:t xml:space="preserve"> peter.teunisse@nl.pwc.com</w:t>
            </w:r>
          </w:p>
          <w:p w:rsidR="006A5C94" w:rsidRDefault="006A5C94">
            <w:pPr>
              <w:autoSpaceDE w:val="0"/>
              <w:autoSpaceDN w:val="0"/>
              <w:adjustRightInd w:val="0"/>
              <w:spacing w:line="240" w:lineRule="auto"/>
              <w:rPr>
                <w:lang w:val="it-IT"/>
              </w:rPr>
            </w:pPr>
          </w:p>
        </w:tc>
      </w:tr>
      <w:tr w:rsidR="006A5C94">
        <w:tc>
          <w:tcPr>
            <w:tcW w:w="2268" w:type="dxa"/>
          </w:tcPr>
          <w:p w:rsidR="006A5C94" w:rsidRDefault="00DF1CB4">
            <w:pPr>
              <w:rPr>
                <w:i/>
              </w:rPr>
            </w:pPr>
            <w:r>
              <w:rPr>
                <w:i/>
              </w:rPr>
              <w:t xml:space="preserve">Pages </w:t>
            </w:r>
          </w:p>
        </w:tc>
        <w:tc>
          <w:tcPr>
            <w:tcW w:w="5211" w:type="dxa"/>
          </w:tcPr>
          <w:p w:rsidR="006A5C94" w:rsidRDefault="00F724F3">
            <w:r>
              <w:t>3</w:t>
            </w:r>
          </w:p>
        </w:tc>
      </w:tr>
    </w:tbl>
    <w:p w:rsidR="006A5C94" w:rsidRDefault="004025CC">
      <w:r>
        <w:rPr>
          <w:noProof/>
          <w:lang w:val="en-US"/>
        </w:rPr>
        <mc:AlternateContent>
          <mc:Choice Requires="wps">
            <w:drawing>
              <wp:anchor distT="0" distB="0" distL="114300" distR="114300" simplePos="0" relativeHeight="251659264" behindDoc="0" locked="0" layoutInCell="1" allowOverlap="1" wp14:anchorId="2C873F59" wp14:editId="5B9613EB">
                <wp:simplePos x="0" y="0"/>
                <wp:positionH relativeFrom="page">
                  <wp:posOffset>1271270</wp:posOffset>
                </wp:positionH>
                <wp:positionV relativeFrom="page">
                  <wp:posOffset>4276725</wp:posOffset>
                </wp:positionV>
                <wp:extent cx="5779135" cy="0"/>
                <wp:effectExtent l="13970" t="9525" r="7620" b="95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1pt,336.75pt" to="555.1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d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T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" strokecolor="#e36c0a">
                <w10:wrap anchorx="page" anchory="page"/>
              </v:line>
            </w:pict>
          </mc:Fallback>
        </mc:AlternateContent>
      </w:r>
      <w:r w:rsidR="00DF1CB4">
        <w:rPr>
          <w:rFonts w:cs="Arial"/>
          <w:b/>
          <w:i/>
          <w:iCs/>
        </w:rPr>
        <w:br w:type="textWrapping" w:clear="all"/>
      </w:r>
    </w:p>
    <w:p w:rsidR="00F81888" w:rsidRDefault="00F81888" w:rsidP="00F81888">
      <w:pPr>
        <w:autoSpaceDE w:val="0"/>
        <w:autoSpaceDN w:val="0"/>
        <w:spacing w:after="120" w:line="240" w:lineRule="auto"/>
        <w:rPr>
          <w:b/>
          <w:bCs/>
          <w:color w:val="000000"/>
          <w:szCs w:val="20"/>
        </w:rPr>
      </w:pPr>
    </w:p>
    <w:p w:rsidR="00DD14B3" w:rsidRPr="00DD14B3" w:rsidRDefault="00530A1A" w:rsidP="00DD14B3">
      <w:pPr>
        <w:autoSpaceDE w:val="0"/>
        <w:autoSpaceDN w:val="0"/>
        <w:spacing w:after="240" w:line="240" w:lineRule="auto"/>
        <w:jc w:val="center"/>
        <w:rPr>
          <w:rFonts w:cs="Helv"/>
          <w:b/>
          <w:color w:val="000000"/>
          <w:sz w:val="24"/>
          <w:szCs w:val="24"/>
          <w:lang w:val="en-US" w:eastAsia="en-GB"/>
        </w:rPr>
      </w:pPr>
      <w:r w:rsidRPr="00DD14B3">
        <w:rPr>
          <w:rFonts w:cs="Helv"/>
          <w:b/>
          <w:color w:val="000000"/>
          <w:sz w:val="24"/>
          <w:szCs w:val="24"/>
          <w:lang w:val="en-US" w:eastAsia="en-GB"/>
        </w:rPr>
        <w:t xml:space="preserve">Successful cities of the future are agile to adapt to global trends </w:t>
      </w:r>
      <w:r w:rsidR="00DD14B3" w:rsidRPr="00DD14B3">
        <w:rPr>
          <w:rFonts w:cs="Helv"/>
          <w:b/>
          <w:color w:val="000000"/>
          <w:sz w:val="24"/>
          <w:szCs w:val="24"/>
          <w:lang w:val="en-US" w:eastAsia="en-GB"/>
        </w:rPr>
        <w:br/>
      </w:r>
      <w:bookmarkStart w:id="0" w:name="_GoBack"/>
      <w:r w:rsidRPr="00DD14B3">
        <w:rPr>
          <w:rFonts w:cs="Helv"/>
          <w:b/>
          <w:color w:val="000000"/>
          <w:sz w:val="24"/>
          <w:szCs w:val="24"/>
          <w:lang w:val="en-US" w:eastAsia="en-GB"/>
        </w:rPr>
        <w:t>and boost their sustainable competitiveness</w:t>
      </w:r>
    </w:p>
    <w:bookmarkEnd w:id="0"/>
    <w:p w:rsidR="00DD164B" w:rsidRDefault="00E34E86" w:rsidP="00DD14B3">
      <w:pPr>
        <w:autoSpaceDE w:val="0"/>
        <w:autoSpaceDN w:val="0"/>
        <w:spacing w:after="240" w:line="240" w:lineRule="auto"/>
        <w:jc w:val="center"/>
        <w:rPr>
          <w:bCs/>
          <w:i/>
          <w:color w:val="000000"/>
          <w:sz w:val="22"/>
        </w:rPr>
      </w:pPr>
      <w:r>
        <w:rPr>
          <w:bCs/>
          <w:i/>
          <w:color w:val="000000"/>
          <w:sz w:val="22"/>
        </w:rPr>
        <w:t>New r</w:t>
      </w:r>
      <w:r w:rsidR="00813EDB" w:rsidRPr="0025604B">
        <w:rPr>
          <w:bCs/>
          <w:i/>
          <w:color w:val="000000"/>
          <w:sz w:val="22"/>
        </w:rPr>
        <w:t xml:space="preserve">eport analyses 24 urban projects </w:t>
      </w:r>
      <w:r w:rsidR="0025604B">
        <w:rPr>
          <w:bCs/>
          <w:i/>
          <w:color w:val="000000"/>
          <w:sz w:val="22"/>
        </w:rPr>
        <w:t>around the world</w:t>
      </w:r>
    </w:p>
    <w:p w:rsidR="004144EF" w:rsidRPr="00D01EAB" w:rsidRDefault="00B51770" w:rsidP="0025604B">
      <w:pPr>
        <w:autoSpaceDE w:val="0"/>
        <w:autoSpaceDN w:val="0"/>
        <w:spacing w:after="240" w:line="240" w:lineRule="auto"/>
        <w:rPr>
          <w:bCs/>
          <w:i/>
          <w:color w:val="000000"/>
          <w:sz w:val="21"/>
          <w:szCs w:val="21"/>
        </w:rPr>
      </w:pPr>
      <w:r w:rsidRPr="00B51770">
        <w:rPr>
          <w:rFonts w:cs="Helv"/>
          <w:b/>
          <w:color w:val="000000"/>
          <w:sz w:val="21"/>
          <w:szCs w:val="21"/>
          <w:lang w:eastAsia="en-GB"/>
        </w:rPr>
        <w:t>10 Apr 2014</w:t>
      </w:r>
      <w:r>
        <w:rPr>
          <w:rFonts w:cs="Helv"/>
          <w:color w:val="000000"/>
          <w:sz w:val="21"/>
          <w:szCs w:val="21"/>
          <w:lang w:eastAsia="en-GB"/>
        </w:rPr>
        <w:noBreakHyphen/>
      </w:r>
      <w:r>
        <w:rPr>
          <w:rFonts w:cs="Helv"/>
          <w:color w:val="000000"/>
          <w:sz w:val="21"/>
          <w:szCs w:val="21"/>
          <w:lang w:eastAsia="en-GB"/>
        </w:rPr>
        <w:noBreakHyphen/>
      </w:r>
      <w:r w:rsidR="00813EDB" w:rsidRPr="00D01EAB">
        <w:rPr>
          <w:rFonts w:cs="Helv"/>
          <w:color w:val="000000"/>
          <w:sz w:val="21"/>
          <w:szCs w:val="21"/>
          <w:lang w:eastAsia="en-GB"/>
        </w:rPr>
        <w:t xml:space="preserve">Cities </w:t>
      </w:r>
      <w:r w:rsidR="0025604B" w:rsidRPr="00D01EAB">
        <w:rPr>
          <w:rFonts w:cs="Helv"/>
          <w:color w:val="000000"/>
          <w:sz w:val="21"/>
          <w:szCs w:val="21"/>
          <w:lang w:eastAsia="en-GB"/>
        </w:rPr>
        <w:t>worldwide</w:t>
      </w:r>
      <w:r w:rsidR="00813EDB" w:rsidRPr="00D01EAB">
        <w:rPr>
          <w:rFonts w:cs="Helv"/>
          <w:color w:val="000000"/>
          <w:sz w:val="21"/>
          <w:szCs w:val="21"/>
          <w:lang w:eastAsia="en-GB"/>
        </w:rPr>
        <w:t xml:space="preserve"> face the ch</w:t>
      </w:r>
      <w:r w:rsidR="004636F8" w:rsidRPr="00D01EAB">
        <w:rPr>
          <w:rFonts w:cs="Helv"/>
          <w:color w:val="000000"/>
          <w:sz w:val="21"/>
          <w:szCs w:val="21"/>
          <w:lang w:eastAsia="en-GB"/>
        </w:rPr>
        <w:t>allenge of growing economically</w:t>
      </w:r>
      <w:r w:rsidR="0080015E" w:rsidRPr="00D01EAB">
        <w:rPr>
          <w:rFonts w:cs="Helv"/>
          <w:color w:val="000000"/>
          <w:sz w:val="21"/>
          <w:szCs w:val="21"/>
          <w:lang w:eastAsia="en-GB"/>
        </w:rPr>
        <w:t xml:space="preserve"> </w:t>
      </w:r>
      <w:r w:rsidR="00813EDB" w:rsidRPr="00D01EAB">
        <w:rPr>
          <w:rFonts w:cs="Helv"/>
          <w:color w:val="000000"/>
          <w:sz w:val="21"/>
          <w:szCs w:val="21"/>
          <w:lang w:eastAsia="en-GB"/>
        </w:rPr>
        <w:t xml:space="preserve">while </w:t>
      </w:r>
      <w:r w:rsidR="00552957">
        <w:rPr>
          <w:rFonts w:cs="Helv"/>
          <w:color w:val="000000"/>
          <w:sz w:val="21"/>
          <w:szCs w:val="21"/>
          <w:lang w:eastAsia="en-GB"/>
        </w:rPr>
        <w:t xml:space="preserve">balancing the social and environmental side of the city to </w:t>
      </w:r>
      <w:r w:rsidR="00813EDB" w:rsidRPr="00D01EAB">
        <w:rPr>
          <w:rFonts w:cs="Helv"/>
          <w:color w:val="000000"/>
          <w:sz w:val="21"/>
          <w:szCs w:val="21"/>
          <w:lang w:eastAsia="en-GB"/>
        </w:rPr>
        <w:t xml:space="preserve">remain sustainable </w:t>
      </w:r>
      <w:r w:rsidR="0080015E" w:rsidRPr="00D01EAB">
        <w:rPr>
          <w:rFonts w:cs="Helv"/>
          <w:color w:val="000000"/>
          <w:sz w:val="21"/>
          <w:szCs w:val="21"/>
          <w:lang w:eastAsia="en-GB"/>
        </w:rPr>
        <w:t>in the future</w:t>
      </w:r>
      <w:r w:rsidR="00813EDB" w:rsidRPr="00D01EAB">
        <w:rPr>
          <w:rFonts w:cs="Helv"/>
          <w:color w:val="000000"/>
          <w:sz w:val="21"/>
          <w:szCs w:val="21"/>
          <w:lang w:eastAsia="en-GB"/>
        </w:rPr>
        <w:t xml:space="preserve">. To succeed, they </w:t>
      </w:r>
      <w:r w:rsidR="0025604B" w:rsidRPr="00D01EAB">
        <w:rPr>
          <w:rFonts w:cs="Helv"/>
          <w:color w:val="000000"/>
          <w:sz w:val="21"/>
          <w:szCs w:val="21"/>
          <w:lang w:eastAsia="en-GB"/>
        </w:rPr>
        <w:t xml:space="preserve">need </w:t>
      </w:r>
      <w:r w:rsidR="00813EDB" w:rsidRPr="00D01EAB">
        <w:rPr>
          <w:rFonts w:cs="Helv"/>
          <w:color w:val="000000"/>
          <w:sz w:val="21"/>
          <w:szCs w:val="21"/>
          <w:lang w:eastAsia="en-GB"/>
        </w:rPr>
        <w:t>urban projects</w:t>
      </w:r>
      <w:r w:rsidR="0025604B" w:rsidRPr="00D01EAB">
        <w:rPr>
          <w:rFonts w:cs="Helv"/>
          <w:color w:val="000000"/>
          <w:sz w:val="21"/>
          <w:szCs w:val="21"/>
          <w:lang w:eastAsia="en-GB"/>
        </w:rPr>
        <w:t xml:space="preserve"> </w:t>
      </w:r>
      <w:r w:rsidR="00813EDB" w:rsidRPr="00D01EAB">
        <w:rPr>
          <w:rFonts w:cs="Helv"/>
          <w:color w:val="000000"/>
          <w:sz w:val="21"/>
          <w:szCs w:val="21"/>
          <w:lang w:eastAsia="en-GB"/>
        </w:rPr>
        <w:t xml:space="preserve">that </w:t>
      </w:r>
      <w:r w:rsidR="001230BD" w:rsidRPr="00D01EAB">
        <w:rPr>
          <w:rFonts w:cs="Helv"/>
          <w:color w:val="000000"/>
          <w:sz w:val="21"/>
          <w:szCs w:val="21"/>
          <w:lang w:eastAsia="en-GB"/>
        </w:rPr>
        <w:t xml:space="preserve">have a clear vision </w:t>
      </w:r>
      <w:r w:rsidR="00DD164B" w:rsidRPr="00D01EAB">
        <w:rPr>
          <w:rFonts w:cs="Helv"/>
          <w:color w:val="000000"/>
          <w:sz w:val="21"/>
          <w:szCs w:val="21"/>
          <w:lang w:eastAsia="en-GB"/>
        </w:rPr>
        <w:t xml:space="preserve">and </w:t>
      </w:r>
      <w:r w:rsidR="001230BD" w:rsidRPr="00D01EAB">
        <w:rPr>
          <w:rFonts w:cs="Helv"/>
          <w:color w:val="000000"/>
          <w:sz w:val="21"/>
          <w:szCs w:val="21"/>
          <w:lang w:eastAsia="en-GB"/>
        </w:rPr>
        <w:t>goals</w:t>
      </w:r>
      <w:r w:rsidR="00813EDB" w:rsidRPr="00D01EAB">
        <w:rPr>
          <w:rFonts w:cs="Helv"/>
          <w:color w:val="000000"/>
          <w:sz w:val="21"/>
          <w:szCs w:val="21"/>
          <w:lang w:eastAsia="en-GB"/>
        </w:rPr>
        <w:t xml:space="preserve">, </w:t>
      </w:r>
      <w:r w:rsidR="001230BD" w:rsidRPr="00D01EAB">
        <w:rPr>
          <w:rFonts w:cs="Helv"/>
          <w:color w:val="000000"/>
          <w:sz w:val="21"/>
          <w:szCs w:val="21"/>
          <w:lang w:eastAsia="en-GB"/>
        </w:rPr>
        <w:t xml:space="preserve">are </w:t>
      </w:r>
      <w:r w:rsidR="00813EDB" w:rsidRPr="00D01EAB">
        <w:rPr>
          <w:rFonts w:cs="Helv"/>
          <w:color w:val="000000"/>
          <w:sz w:val="21"/>
          <w:szCs w:val="21"/>
          <w:lang w:eastAsia="en-GB"/>
        </w:rPr>
        <w:t xml:space="preserve">well </w:t>
      </w:r>
      <w:r w:rsidR="0025604B" w:rsidRPr="00D01EAB">
        <w:rPr>
          <w:rFonts w:cs="Helv"/>
          <w:color w:val="000000"/>
          <w:sz w:val="21"/>
          <w:szCs w:val="21"/>
          <w:lang w:eastAsia="en-GB"/>
        </w:rPr>
        <w:t>managed and</w:t>
      </w:r>
      <w:r w:rsidR="00813EDB" w:rsidRPr="00D01EAB">
        <w:rPr>
          <w:rFonts w:cs="Helv"/>
          <w:color w:val="000000"/>
          <w:sz w:val="21"/>
          <w:szCs w:val="21"/>
          <w:lang w:eastAsia="en-GB"/>
        </w:rPr>
        <w:t xml:space="preserve"> involve a broad range of parties</w:t>
      </w:r>
      <w:r w:rsidR="004636F8" w:rsidRPr="00D01EAB">
        <w:rPr>
          <w:rFonts w:cs="Helv"/>
          <w:color w:val="000000"/>
          <w:sz w:val="21"/>
          <w:szCs w:val="21"/>
          <w:lang w:eastAsia="en-GB"/>
        </w:rPr>
        <w:t xml:space="preserve"> working together effectively.</w:t>
      </w:r>
    </w:p>
    <w:p w:rsidR="0080015E" w:rsidRPr="00D01EAB" w:rsidRDefault="00813EDB" w:rsidP="0025604B">
      <w:pPr>
        <w:rPr>
          <w:rFonts w:cs="Arial"/>
          <w:color w:val="000000"/>
          <w:sz w:val="21"/>
          <w:szCs w:val="21"/>
          <w:lang w:val="en-US"/>
        </w:rPr>
      </w:pPr>
      <w:r w:rsidRPr="00D01EAB">
        <w:rPr>
          <w:rFonts w:cs="Arial"/>
          <w:color w:val="000000"/>
          <w:sz w:val="21"/>
          <w:szCs w:val="21"/>
          <w:lang w:val="en-US"/>
        </w:rPr>
        <w:t>This is one of the findings of a new report produced</w:t>
      </w:r>
      <w:r w:rsidR="00782036" w:rsidRPr="00D01EAB">
        <w:rPr>
          <w:rFonts w:cs="Arial"/>
          <w:color w:val="000000"/>
          <w:sz w:val="21"/>
          <w:szCs w:val="21"/>
          <w:lang w:val="en-US"/>
        </w:rPr>
        <w:t xml:space="preserve"> by the European Institute for Comparative Urban Research (Euricur), PwC and the Institute for Housin</w:t>
      </w:r>
      <w:r w:rsidR="006D3DDB">
        <w:rPr>
          <w:rFonts w:cs="Arial"/>
          <w:color w:val="000000"/>
          <w:sz w:val="21"/>
          <w:szCs w:val="21"/>
          <w:lang w:val="en-US"/>
        </w:rPr>
        <w:t>g and Urban Development Studies</w:t>
      </w:r>
      <w:r w:rsidR="0080015E" w:rsidRPr="00D01EAB">
        <w:rPr>
          <w:rFonts w:cs="Arial"/>
          <w:color w:val="000000"/>
          <w:sz w:val="21"/>
          <w:szCs w:val="21"/>
          <w:lang w:val="en-US"/>
        </w:rPr>
        <w:t>.</w:t>
      </w:r>
    </w:p>
    <w:p w:rsidR="0080015E" w:rsidRPr="00D01EAB" w:rsidRDefault="0080015E" w:rsidP="0025604B">
      <w:pPr>
        <w:rPr>
          <w:rFonts w:cs="Arial"/>
          <w:color w:val="000000"/>
          <w:sz w:val="21"/>
          <w:szCs w:val="21"/>
          <w:lang w:val="en-US"/>
        </w:rPr>
      </w:pPr>
    </w:p>
    <w:p w:rsidR="00782036" w:rsidRPr="00D01EAB" w:rsidRDefault="0080015E" w:rsidP="0025604B">
      <w:pPr>
        <w:rPr>
          <w:rFonts w:cs="Arial"/>
          <w:color w:val="000000"/>
          <w:sz w:val="21"/>
          <w:szCs w:val="21"/>
          <w:lang w:val="en-US"/>
        </w:rPr>
      </w:pPr>
      <w:r w:rsidRPr="00D01EAB">
        <w:rPr>
          <w:rFonts w:cs="Arial"/>
          <w:color w:val="000000"/>
          <w:sz w:val="21"/>
          <w:szCs w:val="21"/>
          <w:lang w:val="en-US"/>
        </w:rPr>
        <w:t>The report analyses</w:t>
      </w:r>
      <w:r w:rsidR="00782036" w:rsidRPr="00D01EAB">
        <w:rPr>
          <w:rFonts w:cs="Arial"/>
          <w:color w:val="000000"/>
          <w:sz w:val="21"/>
          <w:szCs w:val="21"/>
          <w:lang w:val="en-US"/>
        </w:rPr>
        <w:t xml:space="preserve"> 24 urban projects in </w:t>
      </w:r>
      <w:bookmarkStart w:id="1" w:name="OLE_LINK1"/>
      <w:r w:rsidR="0025604B" w:rsidRPr="00D01EAB">
        <w:rPr>
          <w:rFonts w:cs="Arial"/>
          <w:color w:val="000000"/>
          <w:sz w:val="21"/>
          <w:szCs w:val="21"/>
          <w:lang w:val="en-US"/>
        </w:rPr>
        <w:t>Australia, Belgium, Brazil, Canada, China, Ethiopia, Finland, Germany, Hungary, India, Indonesia, Irela</w:t>
      </w:r>
      <w:r w:rsidR="004636F8" w:rsidRPr="00D01EAB">
        <w:rPr>
          <w:rFonts w:cs="Arial"/>
          <w:color w:val="000000"/>
          <w:sz w:val="21"/>
          <w:szCs w:val="21"/>
          <w:lang w:val="en-US"/>
        </w:rPr>
        <w:t xml:space="preserve">nd, Italy, Netherlands, Qatar, </w:t>
      </w:r>
      <w:r w:rsidR="0025604B" w:rsidRPr="00D01EAB">
        <w:rPr>
          <w:rFonts w:cs="Arial"/>
          <w:color w:val="000000"/>
          <w:sz w:val="21"/>
          <w:szCs w:val="21"/>
          <w:lang w:val="en-US"/>
        </w:rPr>
        <w:t>Singapore, South Africa, Spain, the UK, United Arab Emirates and the US.</w:t>
      </w:r>
    </w:p>
    <w:bookmarkEnd w:id="1"/>
    <w:p w:rsidR="00DB0672" w:rsidRPr="00D01EAB" w:rsidRDefault="00DB0672">
      <w:pPr>
        <w:autoSpaceDE w:val="0"/>
        <w:autoSpaceDN w:val="0"/>
        <w:adjustRightInd w:val="0"/>
        <w:spacing w:line="240" w:lineRule="auto"/>
        <w:rPr>
          <w:rFonts w:cs="Arial"/>
          <w:color w:val="000000"/>
          <w:sz w:val="21"/>
          <w:szCs w:val="21"/>
          <w:lang w:val="en-US"/>
        </w:rPr>
      </w:pPr>
    </w:p>
    <w:p w:rsidR="0080015E" w:rsidRPr="00D01EAB" w:rsidRDefault="0080015E" w:rsidP="0080015E">
      <w:pPr>
        <w:rPr>
          <w:rFonts w:cs="Arial"/>
          <w:color w:val="000000"/>
          <w:sz w:val="21"/>
          <w:szCs w:val="21"/>
          <w:lang w:val="en-US"/>
        </w:rPr>
      </w:pPr>
      <w:r w:rsidRPr="00D01EAB">
        <w:rPr>
          <w:rFonts w:cs="Arial"/>
          <w:color w:val="000000"/>
          <w:sz w:val="21"/>
          <w:szCs w:val="21"/>
          <w:lang w:val="en-US"/>
        </w:rPr>
        <w:t>It looks at how cities can achieve good growth while nurturing sustainable competitiveness</w:t>
      </w:r>
      <w:r w:rsidR="006D3DDB">
        <w:rPr>
          <w:rFonts w:cs="Arial"/>
          <w:color w:val="000000"/>
          <w:sz w:val="21"/>
          <w:szCs w:val="21"/>
          <w:lang w:val="en-US"/>
        </w:rPr>
        <w:t>;</w:t>
      </w:r>
      <w:r w:rsidRPr="00D01EAB">
        <w:rPr>
          <w:rFonts w:cs="Arial"/>
          <w:color w:val="000000"/>
          <w:sz w:val="21"/>
          <w:szCs w:val="21"/>
          <w:lang w:val="en-US"/>
        </w:rPr>
        <w:t xml:space="preserve"> how they can keep growing and developing over time while fostering social cohesion and environmental quality. </w:t>
      </w:r>
    </w:p>
    <w:p w:rsidR="0080015E" w:rsidRPr="00D01EAB" w:rsidRDefault="0080015E">
      <w:pPr>
        <w:autoSpaceDE w:val="0"/>
        <w:autoSpaceDN w:val="0"/>
        <w:adjustRightInd w:val="0"/>
        <w:spacing w:line="240" w:lineRule="auto"/>
        <w:rPr>
          <w:rFonts w:cs="Arial"/>
          <w:color w:val="000000"/>
          <w:sz w:val="21"/>
          <w:szCs w:val="21"/>
          <w:lang w:val="en-US"/>
        </w:rPr>
      </w:pPr>
    </w:p>
    <w:p w:rsidR="0080015E" w:rsidRPr="00D01EAB" w:rsidRDefault="0080015E">
      <w:pPr>
        <w:autoSpaceDE w:val="0"/>
        <w:autoSpaceDN w:val="0"/>
        <w:adjustRightInd w:val="0"/>
        <w:spacing w:line="240" w:lineRule="auto"/>
        <w:rPr>
          <w:rFonts w:cs="Arial"/>
          <w:color w:val="000000"/>
          <w:sz w:val="21"/>
          <w:szCs w:val="21"/>
          <w:lang w:val="en-US"/>
        </w:rPr>
      </w:pPr>
      <w:r w:rsidRPr="00D01EAB">
        <w:rPr>
          <w:rFonts w:cs="Arial"/>
          <w:color w:val="000000"/>
          <w:sz w:val="21"/>
          <w:szCs w:val="21"/>
          <w:lang w:val="en-US"/>
        </w:rPr>
        <w:t>Hazem Galal, PwC’s Global Cities and Local Government Sector Leader</w:t>
      </w:r>
      <w:r w:rsidR="006D3DDB">
        <w:rPr>
          <w:rFonts w:cs="Arial"/>
          <w:color w:val="000000"/>
          <w:sz w:val="21"/>
          <w:szCs w:val="21"/>
          <w:lang w:val="en-US"/>
        </w:rPr>
        <w:t>, says</w:t>
      </w:r>
      <w:r w:rsidR="001244A2" w:rsidRPr="00D01EAB">
        <w:rPr>
          <w:rFonts w:cs="Arial"/>
          <w:color w:val="000000"/>
          <w:sz w:val="21"/>
          <w:szCs w:val="21"/>
          <w:lang w:val="en-US"/>
        </w:rPr>
        <w:t xml:space="preserve">: </w:t>
      </w:r>
      <w:r w:rsidRPr="00D01EAB">
        <w:rPr>
          <w:rFonts w:cs="Arial"/>
          <w:color w:val="000000"/>
          <w:sz w:val="21"/>
          <w:szCs w:val="21"/>
          <w:lang w:val="en-US"/>
        </w:rPr>
        <w:br/>
      </w:r>
    </w:p>
    <w:p w:rsidR="001244A2" w:rsidRPr="00D01EAB" w:rsidRDefault="001244A2" w:rsidP="0080015E">
      <w:pPr>
        <w:autoSpaceDE w:val="0"/>
        <w:autoSpaceDN w:val="0"/>
        <w:adjustRightInd w:val="0"/>
        <w:spacing w:line="240" w:lineRule="auto"/>
        <w:ind w:left="360"/>
        <w:rPr>
          <w:rFonts w:cs="Arial"/>
          <w:color w:val="000000"/>
          <w:sz w:val="21"/>
          <w:szCs w:val="21"/>
          <w:lang w:val="en-US"/>
        </w:rPr>
      </w:pPr>
      <w:r w:rsidRPr="00D01EAB">
        <w:rPr>
          <w:rFonts w:cs="Arial"/>
          <w:color w:val="000000"/>
          <w:sz w:val="21"/>
          <w:szCs w:val="21"/>
          <w:lang w:val="en-US"/>
        </w:rPr>
        <w:t xml:space="preserve">“Cities have always been engines of growth and development. But the playing field for cities is changing dramatically with budgetary restrictions increasing the importance of executing and implementing strategy effectively and making things happen on the ground. </w:t>
      </w:r>
    </w:p>
    <w:p w:rsidR="001244A2" w:rsidRPr="00D01EAB" w:rsidRDefault="001244A2" w:rsidP="0080015E">
      <w:pPr>
        <w:autoSpaceDE w:val="0"/>
        <w:autoSpaceDN w:val="0"/>
        <w:adjustRightInd w:val="0"/>
        <w:spacing w:line="240" w:lineRule="auto"/>
        <w:ind w:left="360"/>
        <w:rPr>
          <w:rFonts w:cs="Arial"/>
          <w:color w:val="000000"/>
          <w:sz w:val="21"/>
          <w:szCs w:val="21"/>
          <w:lang w:val="en-US"/>
        </w:rPr>
      </w:pPr>
    </w:p>
    <w:p w:rsidR="001244A2" w:rsidRPr="00D01EAB" w:rsidRDefault="001244A2" w:rsidP="0080015E">
      <w:pPr>
        <w:autoSpaceDE w:val="0"/>
        <w:autoSpaceDN w:val="0"/>
        <w:adjustRightInd w:val="0"/>
        <w:spacing w:line="240" w:lineRule="auto"/>
        <w:ind w:left="360"/>
        <w:rPr>
          <w:rFonts w:cs="Arial"/>
          <w:color w:val="000000"/>
          <w:sz w:val="21"/>
          <w:szCs w:val="21"/>
          <w:lang w:val="en-US"/>
        </w:rPr>
      </w:pPr>
      <w:r w:rsidRPr="00D01EAB">
        <w:rPr>
          <w:rFonts w:cs="Arial"/>
          <w:color w:val="000000"/>
          <w:sz w:val="21"/>
          <w:szCs w:val="21"/>
          <w:lang w:val="en-US"/>
        </w:rPr>
        <w:t>“Urban competitiveness is driven by a city’s ability to innovate and diversi</w:t>
      </w:r>
      <w:r w:rsidR="00552957">
        <w:rPr>
          <w:rFonts w:cs="Arial"/>
          <w:color w:val="000000"/>
          <w:sz w:val="21"/>
          <w:szCs w:val="21"/>
          <w:lang w:val="en-US"/>
        </w:rPr>
        <w:t>f</w:t>
      </w:r>
      <w:r w:rsidRPr="00D01EAB">
        <w:rPr>
          <w:rFonts w:cs="Arial"/>
          <w:color w:val="000000"/>
          <w:sz w:val="21"/>
          <w:szCs w:val="21"/>
          <w:lang w:val="en-US"/>
        </w:rPr>
        <w:t xml:space="preserve">y towards new economic activities. But there are other </w:t>
      </w:r>
      <w:r w:rsidR="0025604B" w:rsidRPr="00D01EAB">
        <w:rPr>
          <w:rFonts w:cs="Arial"/>
          <w:color w:val="000000"/>
          <w:sz w:val="21"/>
          <w:szCs w:val="21"/>
          <w:lang w:val="en-US"/>
        </w:rPr>
        <w:t>dimensions that are critical</w:t>
      </w:r>
      <w:r w:rsidRPr="00D01EAB">
        <w:rPr>
          <w:rFonts w:cs="Arial"/>
          <w:color w:val="000000"/>
          <w:sz w:val="21"/>
          <w:szCs w:val="21"/>
          <w:lang w:val="en-US"/>
        </w:rPr>
        <w:t xml:space="preserve"> to a city’s future success and attractiveness, including social welfare, security and environmental quality. Balancing all this to achieve sustainable competitiveness is a key urban challenge for the </w:t>
      </w:r>
      <w:r w:rsidR="0025604B" w:rsidRPr="00D01EAB">
        <w:rPr>
          <w:rFonts w:cs="Arial"/>
          <w:color w:val="000000"/>
          <w:sz w:val="21"/>
          <w:szCs w:val="21"/>
          <w:lang w:val="en-US"/>
        </w:rPr>
        <w:t>next decade</w:t>
      </w:r>
      <w:r w:rsidRPr="00D01EAB">
        <w:rPr>
          <w:rFonts w:cs="Arial"/>
          <w:color w:val="000000"/>
          <w:sz w:val="21"/>
          <w:szCs w:val="21"/>
          <w:lang w:val="en-US"/>
        </w:rPr>
        <w:t>.”</w:t>
      </w:r>
    </w:p>
    <w:p w:rsidR="001244A2" w:rsidRPr="00D01EAB" w:rsidRDefault="001244A2">
      <w:pPr>
        <w:autoSpaceDE w:val="0"/>
        <w:autoSpaceDN w:val="0"/>
        <w:adjustRightInd w:val="0"/>
        <w:spacing w:line="240" w:lineRule="auto"/>
        <w:rPr>
          <w:rFonts w:cs="Arial"/>
          <w:color w:val="000000"/>
          <w:sz w:val="21"/>
          <w:szCs w:val="21"/>
          <w:lang w:val="en-US"/>
        </w:rPr>
      </w:pPr>
    </w:p>
    <w:p w:rsidR="00DD14B3" w:rsidRDefault="00DD14B3">
      <w:pPr>
        <w:spacing w:line="240" w:lineRule="auto"/>
        <w:rPr>
          <w:rFonts w:cs="Arial"/>
          <w:color w:val="000000"/>
          <w:sz w:val="21"/>
          <w:szCs w:val="21"/>
          <w:lang w:val="en-US"/>
        </w:rPr>
      </w:pPr>
      <w:r>
        <w:rPr>
          <w:rFonts w:cs="Arial"/>
          <w:color w:val="000000"/>
          <w:sz w:val="21"/>
          <w:szCs w:val="21"/>
          <w:lang w:val="en-US"/>
        </w:rPr>
        <w:br w:type="page"/>
      </w:r>
    </w:p>
    <w:p w:rsidR="00782036" w:rsidRPr="00D01EAB" w:rsidRDefault="007B453E" w:rsidP="007B453E">
      <w:pPr>
        <w:autoSpaceDE w:val="0"/>
        <w:autoSpaceDN w:val="0"/>
        <w:adjustRightInd w:val="0"/>
        <w:spacing w:after="140" w:line="240" w:lineRule="auto"/>
        <w:rPr>
          <w:rFonts w:cs="Arial"/>
          <w:color w:val="000000"/>
          <w:sz w:val="21"/>
          <w:szCs w:val="21"/>
          <w:lang w:val="en-US"/>
        </w:rPr>
      </w:pPr>
      <w:r w:rsidRPr="00D01EAB">
        <w:rPr>
          <w:rFonts w:cs="Arial"/>
          <w:color w:val="000000"/>
          <w:sz w:val="21"/>
          <w:szCs w:val="21"/>
          <w:lang w:val="en-US"/>
        </w:rPr>
        <w:lastRenderedPageBreak/>
        <w:t>The report argues that while there is not one single path to sustainable competitiveness that every city can follow, there are certain key ingredients to success. These include:</w:t>
      </w:r>
    </w:p>
    <w:p w:rsidR="007B453E" w:rsidRPr="00D01EAB" w:rsidRDefault="007B453E" w:rsidP="007B453E">
      <w:pPr>
        <w:pStyle w:val="ListParagraph"/>
        <w:numPr>
          <w:ilvl w:val="0"/>
          <w:numId w:val="43"/>
        </w:numPr>
        <w:autoSpaceDE w:val="0"/>
        <w:autoSpaceDN w:val="0"/>
        <w:adjustRightInd w:val="0"/>
        <w:spacing w:line="240" w:lineRule="auto"/>
        <w:contextualSpacing w:val="0"/>
        <w:rPr>
          <w:rFonts w:ascii="Georgia" w:hAnsi="Georgia" w:cs="Arial"/>
          <w:b/>
          <w:lang w:val="en-US"/>
        </w:rPr>
      </w:pPr>
      <w:r w:rsidRPr="00D01EAB">
        <w:rPr>
          <w:rFonts w:ascii="Georgia" w:hAnsi="Georgia" w:cs="Arial"/>
          <w:b/>
          <w:lang w:val="en-US"/>
        </w:rPr>
        <w:t xml:space="preserve">Collaborative power: </w:t>
      </w:r>
      <w:r w:rsidRPr="00D01EAB">
        <w:rPr>
          <w:rFonts w:ascii="Georgia" w:hAnsi="Georgia" w:cs="Arial"/>
          <w:lang w:val="en-US"/>
        </w:rPr>
        <w:t>this is the glue that brings sustainable competitiveness projects together. In the most successful projects, leadership is distributed across multiple organisations, working closely together to make the project happen</w:t>
      </w:r>
      <w:r w:rsidR="009C59FD" w:rsidRPr="00D01EAB">
        <w:rPr>
          <w:rFonts w:ascii="Georgia" w:hAnsi="Georgia" w:cs="Arial"/>
          <w:lang w:val="en-US"/>
        </w:rPr>
        <w:t>. These include</w:t>
      </w:r>
      <w:r w:rsidRPr="00D01EAB">
        <w:rPr>
          <w:rFonts w:ascii="Georgia" w:hAnsi="Georgia" w:cs="Arial"/>
          <w:lang w:val="en-US"/>
        </w:rPr>
        <w:t xml:space="preserve"> the private sector, universities, citizens and the non-for-profit sector. </w:t>
      </w:r>
      <w:r w:rsidR="006E2D95" w:rsidRPr="00D01EAB">
        <w:rPr>
          <w:rFonts w:ascii="Georgia" w:hAnsi="Georgia" w:cs="Arial"/>
          <w:lang w:val="en-US"/>
        </w:rPr>
        <w:t>Good partnerships bring in additional knowledge and expertise, financial resources and legitimacy. But they do take time and effort to mature.</w:t>
      </w:r>
    </w:p>
    <w:p w:rsidR="007B453E" w:rsidRPr="00D01EAB" w:rsidRDefault="007B453E" w:rsidP="007B453E">
      <w:pPr>
        <w:pStyle w:val="ListParagraph"/>
        <w:numPr>
          <w:ilvl w:val="0"/>
          <w:numId w:val="43"/>
        </w:numPr>
        <w:autoSpaceDE w:val="0"/>
        <w:autoSpaceDN w:val="0"/>
        <w:adjustRightInd w:val="0"/>
        <w:spacing w:line="240" w:lineRule="auto"/>
        <w:contextualSpacing w:val="0"/>
        <w:rPr>
          <w:rFonts w:ascii="Georgia" w:hAnsi="Georgia" w:cs="Arial"/>
          <w:b/>
          <w:lang w:val="en-US"/>
        </w:rPr>
      </w:pPr>
      <w:r w:rsidRPr="00D01EAB">
        <w:rPr>
          <w:rFonts w:ascii="Georgia" w:hAnsi="Georgia" w:cs="Arial"/>
          <w:b/>
          <w:lang w:val="en-US"/>
        </w:rPr>
        <w:t xml:space="preserve">Capabilities: </w:t>
      </w:r>
      <w:r w:rsidR="0080015E" w:rsidRPr="00D01EAB">
        <w:rPr>
          <w:rFonts w:ascii="Georgia" w:hAnsi="Georgia" w:cs="Arial"/>
          <w:lang w:val="en-US"/>
        </w:rPr>
        <w:t>successful</w:t>
      </w:r>
      <w:r w:rsidRPr="00D01EAB">
        <w:rPr>
          <w:rFonts w:ascii="Georgia" w:hAnsi="Georgia" w:cs="Arial"/>
          <w:lang w:val="en-US"/>
        </w:rPr>
        <w:t xml:space="preserve"> urban projects</w:t>
      </w:r>
      <w:r w:rsidR="006D3DDB">
        <w:rPr>
          <w:rFonts w:ascii="Georgia" w:hAnsi="Georgia" w:cs="Arial"/>
          <w:lang w:val="en-US"/>
        </w:rPr>
        <w:t xml:space="preserve"> require good design and vision</w:t>
      </w:r>
      <w:r w:rsidRPr="00D01EAB">
        <w:rPr>
          <w:rFonts w:ascii="Georgia" w:hAnsi="Georgia" w:cs="Arial"/>
          <w:lang w:val="en-US"/>
        </w:rPr>
        <w:t xml:space="preserve"> but also sound implementation capabilities. Beyond the role of partnerships and leadership mentioned above, the report identifies several other key ‘enablers’</w:t>
      </w:r>
      <w:r w:rsidR="001244A2" w:rsidRPr="00D01EAB">
        <w:rPr>
          <w:rFonts w:ascii="Georgia" w:hAnsi="Georgia" w:cs="Arial"/>
          <w:lang w:val="en-US"/>
        </w:rPr>
        <w:t xml:space="preserve"> including</w:t>
      </w:r>
      <w:r w:rsidRPr="00D01EAB">
        <w:rPr>
          <w:rFonts w:ascii="Georgia" w:hAnsi="Georgia" w:cs="Arial"/>
          <w:lang w:val="en-US"/>
        </w:rPr>
        <w:t xml:space="preserve"> </w:t>
      </w:r>
      <w:r w:rsidR="009C59FD" w:rsidRPr="00D01EAB">
        <w:rPr>
          <w:rFonts w:ascii="Georgia" w:hAnsi="Georgia" w:cs="Arial"/>
          <w:lang w:val="en-US"/>
        </w:rPr>
        <w:t xml:space="preserve">good </w:t>
      </w:r>
      <w:r w:rsidRPr="00D01EAB">
        <w:rPr>
          <w:rFonts w:ascii="Georgia" w:hAnsi="Georgia" w:cs="Arial"/>
          <w:lang w:val="en-US"/>
        </w:rPr>
        <w:t>communication; smart financial solutions; prioriti</w:t>
      </w:r>
      <w:r w:rsidR="0098032B" w:rsidRPr="00D01EAB">
        <w:rPr>
          <w:rFonts w:ascii="Georgia" w:hAnsi="Georgia" w:cs="Arial"/>
          <w:lang w:val="en-US"/>
        </w:rPr>
        <w:t>s</w:t>
      </w:r>
      <w:r w:rsidRPr="00D01EAB">
        <w:rPr>
          <w:rFonts w:ascii="Georgia" w:hAnsi="Georgia" w:cs="Arial"/>
          <w:lang w:val="en-US"/>
        </w:rPr>
        <w:t>ation and piloting</w:t>
      </w:r>
      <w:r w:rsidR="0098032B" w:rsidRPr="00D01EAB">
        <w:rPr>
          <w:rFonts w:ascii="Georgia" w:hAnsi="Georgia" w:cs="Arial"/>
          <w:lang w:val="en-US"/>
        </w:rPr>
        <w:t>;</w:t>
      </w:r>
      <w:r w:rsidR="009C59FD" w:rsidRPr="00D01EAB">
        <w:rPr>
          <w:rFonts w:ascii="Georgia" w:hAnsi="Georgia" w:cs="Arial"/>
          <w:lang w:val="en-US"/>
        </w:rPr>
        <w:t xml:space="preserve"> and agile </w:t>
      </w:r>
      <w:r w:rsidR="00DD164B" w:rsidRPr="00D01EAB">
        <w:rPr>
          <w:rFonts w:ascii="Georgia" w:hAnsi="Georgia" w:cs="Arial"/>
          <w:lang w:val="en-US"/>
        </w:rPr>
        <w:t>city administrations capable of</w:t>
      </w:r>
      <w:r w:rsidR="009C59FD" w:rsidRPr="00D01EAB">
        <w:rPr>
          <w:rFonts w:ascii="Georgia" w:hAnsi="Georgia" w:cs="Arial"/>
          <w:lang w:val="en-US"/>
        </w:rPr>
        <w:t xml:space="preserve"> adapt</w:t>
      </w:r>
      <w:r w:rsidR="00DD164B" w:rsidRPr="00D01EAB">
        <w:rPr>
          <w:rFonts w:ascii="Georgia" w:hAnsi="Georgia" w:cs="Arial"/>
          <w:lang w:val="en-US"/>
        </w:rPr>
        <w:t>ing</w:t>
      </w:r>
      <w:r w:rsidR="009C59FD" w:rsidRPr="00D01EAB">
        <w:rPr>
          <w:rFonts w:ascii="Georgia" w:hAnsi="Georgia" w:cs="Arial"/>
          <w:lang w:val="en-US"/>
        </w:rPr>
        <w:t xml:space="preserve"> to change. </w:t>
      </w:r>
    </w:p>
    <w:p w:rsidR="007B453E" w:rsidRPr="00D01EAB" w:rsidRDefault="007B453E" w:rsidP="00467691">
      <w:pPr>
        <w:pStyle w:val="ListParagraph"/>
        <w:numPr>
          <w:ilvl w:val="0"/>
          <w:numId w:val="43"/>
        </w:numPr>
        <w:autoSpaceDE w:val="0"/>
        <w:autoSpaceDN w:val="0"/>
        <w:adjustRightInd w:val="0"/>
        <w:spacing w:after="360" w:line="240" w:lineRule="auto"/>
        <w:contextualSpacing w:val="0"/>
        <w:rPr>
          <w:rFonts w:ascii="Georgia" w:hAnsi="Georgia" w:cs="Arial"/>
          <w:b/>
          <w:lang w:val="en-US"/>
        </w:rPr>
      </w:pPr>
      <w:r w:rsidRPr="00D01EAB">
        <w:rPr>
          <w:rFonts w:ascii="Georgia" w:hAnsi="Georgia" w:cs="Arial"/>
          <w:b/>
          <w:lang w:val="en-US"/>
        </w:rPr>
        <w:t xml:space="preserve">Choices: </w:t>
      </w:r>
      <w:r w:rsidRPr="00D01EAB">
        <w:rPr>
          <w:rFonts w:ascii="Georgia" w:hAnsi="Georgia" w:cs="Arial"/>
          <w:lang w:val="en-US"/>
        </w:rPr>
        <w:t xml:space="preserve">depending on the aim of the urban development project, the report </w:t>
      </w:r>
      <w:r w:rsidR="00467691" w:rsidRPr="00D01EAB">
        <w:rPr>
          <w:rFonts w:ascii="Georgia" w:hAnsi="Georgia" w:cs="Arial"/>
          <w:lang w:val="en-US"/>
        </w:rPr>
        <w:t>identifies key choices and dilemmas that urban managers should consider when planning for sustainable competitiveness in cities</w:t>
      </w:r>
      <w:r w:rsidR="0080015E" w:rsidRPr="00D01EAB">
        <w:rPr>
          <w:rFonts w:ascii="Georgia" w:hAnsi="Georgia" w:cs="Arial"/>
          <w:lang w:val="en-US"/>
        </w:rPr>
        <w:t>.</w:t>
      </w:r>
    </w:p>
    <w:p w:rsidR="00867179" w:rsidRPr="00D01EAB" w:rsidRDefault="00D01EAB" w:rsidP="00D9210B">
      <w:pPr>
        <w:pStyle w:val="ListParagraph"/>
        <w:numPr>
          <w:ilvl w:val="0"/>
          <w:numId w:val="43"/>
        </w:numPr>
        <w:autoSpaceDE w:val="0"/>
        <w:autoSpaceDN w:val="0"/>
        <w:adjustRightInd w:val="0"/>
        <w:spacing w:after="0" w:line="240" w:lineRule="auto"/>
        <w:contextualSpacing w:val="0"/>
        <w:rPr>
          <w:rFonts w:ascii="Georgia" w:hAnsi="Georgia" w:cs="Arial"/>
          <w:b/>
          <w:lang w:val="en-US"/>
        </w:rPr>
      </w:pPr>
      <w:r>
        <w:rPr>
          <w:rFonts w:ascii="Georgia" w:hAnsi="Georgia" w:cs="Arial"/>
          <w:b/>
          <w:lang w:val="en-US"/>
        </w:rPr>
        <w:t>A new</w:t>
      </w:r>
      <w:r w:rsidR="0098032B" w:rsidRPr="00D01EAB">
        <w:rPr>
          <w:rFonts w:ascii="Georgia" w:hAnsi="Georgia" w:cs="Arial"/>
          <w:b/>
          <w:lang w:val="en-US"/>
        </w:rPr>
        <w:t xml:space="preserve"> </w:t>
      </w:r>
      <w:r>
        <w:rPr>
          <w:rFonts w:ascii="Georgia" w:hAnsi="Georgia" w:cs="Arial"/>
          <w:b/>
          <w:lang w:val="en-US"/>
        </w:rPr>
        <w:t>type</w:t>
      </w:r>
      <w:r w:rsidR="0080015E" w:rsidRPr="00D01EAB">
        <w:rPr>
          <w:rFonts w:ascii="Georgia" w:hAnsi="Georgia" w:cs="Arial"/>
          <w:b/>
          <w:lang w:val="en-US"/>
        </w:rPr>
        <w:t xml:space="preserve"> </w:t>
      </w:r>
      <w:r w:rsidR="00467691" w:rsidRPr="00D01EAB">
        <w:rPr>
          <w:rFonts w:ascii="Georgia" w:hAnsi="Georgia" w:cs="Arial"/>
          <w:b/>
          <w:lang w:val="en-US"/>
        </w:rPr>
        <w:t xml:space="preserve">of urban manager: </w:t>
      </w:r>
      <w:r w:rsidR="00F25AC2" w:rsidRPr="00D01EAB">
        <w:rPr>
          <w:rFonts w:ascii="Georgia" w:hAnsi="Georgia" w:cs="Arial"/>
          <w:lang w:val="en-US"/>
        </w:rPr>
        <w:t xml:space="preserve">successful urban projects require </w:t>
      </w:r>
      <w:r>
        <w:rPr>
          <w:rFonts w:ascii="Georgia" w:hAnsi="Georgia" w:cs="Arial"/>
          <w:lang w:val="en-US"/>
        </w:rPr>
        <w:t>a new kind</w:t>
      </w:r>
      <w:r w:rsidR="00467691" w:rsidRPr="00D01EAB">
        <w:rPr>
          <w:rFonts w:ascii="Georgia" w:hAnsi="Georgia" w:cs="Arial"/>
          <w:lang w:val="en-US"/>
        </w:rPr>
        <w:t xml:space="preserve"> of urban manager</w:t>
      </w:r>
      <w:r w:rsidR="006D3DDB">
        <w:rPr>
          <w:rFonts w:ascii="Georgia" w:hAnsi="Georgia" w:cs="Arial"/>
          <w:lang w:val="en-US"/>
        </w:rPr>
        <w:t xml:space="preserve"> with multiple skills,</w:t>
      </w:r>
      <w:r w:rsidR="0080015E" w:rsidRPr="00D01EAB">
        <w:rPr>
          <w:rFonts w:ascii="Georgia" w:hAnsi="Georgia" w:cs="Arial"/>
          <w:lang w:val="en-US"/>
        </w:rPr>
        <w:t xml:space="preserve"> </w:t>
      </w:r>
      <w:r w:rsidR="00867179" w:rsidRPr="00D01EAB">
        <w:rPr>
          <w:rFonts w:ascii="Georgia" w:hAnsi="Georgia" w:cs="Arial"/>
          <w:lang w:val="en-US"/>
        </w:rPr>
        <w:t>who can connect and distribute power to other stakeholders within and outside the public organisation</w:t>
      </w:r>
      <w:r w:rsidR="006D3DDB">
        <w:rPr>
          <w:rFonts w:ascii="Georgia" w:hAnsi="Georgia" w:cs="Arial"/>
          <w:lang w:val="en-US"/>
        </w:rPr>
        <w:t xml:space="preserve"> </w:t>
      </w:r>
      <w:r w:rsidR="006A2E47">
        <w:rPr>
          <w:rFonts w:ascii="Georgia" w:hAnsi="Georgia" w:cs="Arial"/>
          <w:lang w:val="en-US"/>
        </w:rPr>
        <w:t>and who involves unusual parties beyond the business and policy elite, such as citizens and universities.</w:t>
      </w:r>
    </w:p>
    <w:p w:rsidR="00867179" w:rsidRPr="00D01EAB" w:rsidRDefault="00867179" w:rsidP="00867179">
      <w:pPr>
        <w:autoSpaceDE w:val="0"/>
        <w:autoSpaceDN w:val="0"/>
        <w:adjustRightInd w:val="0"/>
        <w:spacing w:line="240" w:lineRule="auto"/>
        <w:rPr>
          <w:rFonts w:eastAsia="Times New Roman" w:cs="Arial"/>
          <w:color w:val="000000"/>
          <w:sz w:val="21"/>
          <w:szCs w:val="21"/>
          <w:lang w:val="en-US" w:eastAsia="zh-CN"/>
        </w:rPr>
      </w:pPr>
    </w:p>
    <w:p w:rsidR="00867179" w:rsidRPr="00D01EAB" w:rsidRDefault="007C5EB9" w:rsidP="00867179">
      <w:pPr>
        <w:autoSpaceDE w:val="0"/>
        <w:autoSpaceDN w:val="0"/>
        <w:adjustRightInd w:val="0"/>
        <w:spacing w:line="240" w:lineRule="auto"/>
        <w:rPr>
          <w:rFonts w:eastAsia="Times New Roman" w:cs="Arial"/>
          <w:color w:val="000000"/>
          <w:sz w:val="21"/>
          <w:szCs w:val="21"/>
          <w:lang w:val="en-US" w:eastAsia="zh-CN"/>
        </w:rPr>
      </w:pPr>
      <w:r w:rsidRPr="007C5EB9">
        <w:rPr>
          <w:rFonts w:eastAsia="Times New Roman" w:cs="Arial"/>
          <w:color w:val="000000"/>
          <w:sz w:val="21"/>
          <w:szCs w:val="21"/>
          <w:lang w:val="en-US" w:eastAsia="zh-CN"/>
        </w:rPr>
        <w:t>Peter Teunisse</w:t>
      </w:r>
      <w:r>
        <w:rPr>
          <w:rFonts w:eastAsia="Times New Roman" w:cs="Arial"/>
          <w:color w:val="000000"/>
          <w:sz w:val="21"/>
          <w:szCs w:val="21"/>
          <w:lang w:val="en-US" w:eastAsia="zh-CN"/>
        </w:rPr>
        <w:t>,</w:t>
      </w:r>
      <w:r w:rsidRPr="007C5EB9">
        <w:rPr>
          <w:rFonts w:eastAsia="Times New Roman" w:cs="Arial"/>
          <w:color w:val="000000"/>
          <w:sz w:val="21"/>
          <w:szCs w:val="21"/>
          <w:lang w:val="en-US" w:eastAsia="zh-CN"/>
        </w:rPr>
        <w:t xml:space="preserve"> PwC Senior Director, Cities and Local Government, The Netherlands</w:t>
      </w:r>
      <w:r>
        <w:rPr>
          <w:rFonts w:eastAsia="Times New Roman" w:cs="Arial"/>
          <w:color w:val="000000"/>
          <w:sz w:val="21"/>
          <w:szCs w:val="21"/>
          <w:lang w:val="en-US" w:eastAsia="zh-CN"/>
        </w:rPr>
        <w:t>,</w:t>
      </w:r>
      <w:r w:rsidRPr="007C5EB9">
        <w:rPr>
          <w:rFonts w:eastAsia="Times New Roman" w:cs="Arial"/>
          <w:color w:val="000000"/>
          <w:sz w:val="21"/>
          <w:szCs w:val="21"/>
          <w:lang w:val="en-US" w:eastAsia="zh-CN"/>
        </w:rPr>
        <w:t xml:space="preserve"> </w:t>
      </w:r>
      <w:r>
        <w:rPr>
          <w:rFonts w:eastAsia="Times New Roman" w:cs="Arial"/>
          <w:color w:val="000000"/>
          <w:sz w:val="21"/>
          <w:szCs w:val="21"/>
          <w:lang w:val="en-US" w:eastAsia="zh-CN"/>
        </w:rPr>
        <w:t>adds</w:t>
      </w:r>
      <w:r w:rsidR="00867179" w:rsidRPr="00D01EAB">
        <w:rPr>
          <w:rFonts w:eastAsia="Times New Roman" w:cs="Arial"/>
          <w:color w:val="000000"/>
          <w:sz w:val="21"/>
          <w:szCs w:val="21"/>
          <w:lang w:val="en-US" w:eastAsia="zh-CN"/>
        </w:rPr>
        <w:t xml:space="preserve">: </w:t>
      </w:r>
    </w:p>
    <w:p w:rsidR="00867179" w:rsidRPr="00D01EAB" w:rsidRDefault="00867179" w:rsidP="00D9210B">
      <w:pPr>
        <w:spacing w:line="240" w:lineRule="auto"/>
        <w:rPr>
          <w:rFonts w:cs="Arial"/>
          <w:color w:val="000000"/>
          <w:sz w:val="21"/>
          <w:szCs w:val="21"/>
          <w:lang w:val="en-US"/>
        </w:rPr>
      </w:pPr>
    </w:p>
    <w:p w:rsidR="008D68E5" w:rsidRPr="00811D07" w:rsidRDefault="00867179" w:rsidP="00811D07">
      <w:pPr>
        <w:spacing w:line="240" w:lineRule="auto"/>
        <w:ind w:left="360"/>
        <w:rPr>
          <w:rFonts w:cs="Arial"/>
          <w:color w:val="000000"/>
          <w:sz w:val="21"/>
          <w:szCs w:val="21"/>
          <w:lang w:val="en-US"/>
        </w:rPr>
      </w:pPr>
      <w:r w:rsidRPr="00D01EAB">
        <w:rPr>
          <w:rFonts w:cs="Arial"/>
          <w:color w:val="000000"/>
          <w:sz w:val="21"/>
          <w:szCs w:val="21"/>
          <w:lang w:val="en-US"/>
        </w:rPr>
        <w:t>“There are growing opportunities for cooperation between cites and the private sector. Companies are increasingly ready and willing to invest in the urban environments in which they operate. But the successful involvement of companies in urban development strategies requires more, not less competence, skill and proactivity from city managers.”</w:t>
      </w:r>
    </w:p>
    <w:p w:rsidR="00867179" w:rsidRPr="00D01EAB" w:rsidRDefault="00867179" w:rsidP="00D9210B">
      <w:pPr>
        <w:spacing w:line="240" w:lineRule="auto"/>
        <w:rPr>
          <w:rFonts w:eastAsia="Times New Roman" w:cs="Arial"/>
          <w:color w:val="000000"/>
          <w:sz w:val="21"/>
          <w:szCs w:val="21"/>
          <w:lang w:val="en-US" w:eastAsia="zh-CN"/>
        </w:rPr>
      </w:pPr>
    </w:p>
    <w:p w:rsidR="0080015E" w:rsidRPr="00D01EAB" w:rsidRDefault="0080015E" w:rsidP="00D9210B">
      <w:pPr>
        <w:spacing w:line="240" w:lineRule="auto"/>
        <w:rPr>
          <w:rFonts w:cs="ITCCharterCom-Regular"/>
          <w:sz w:val="21"/>
          <w:szCs w:val="21"/>
        </w:rPr>
      </w:pPr>
      <w:r w:rsidRPr="00D01EAB">
        <w:rPr>
          <w:rFonts w:eastAsia="Times New Roman" w:cs="Arial"/>
          <w:color w:val="000000"/>
          <w:sz w:val="21"/>
          <w:szCs w:val="21"/>
          <w:lang w:val="en-US" w:eastAsia="zh-CN"/>
        </w:rPr>
        <w:t>Here are just a few urban projects highlighted in the report that tick the above boxes:</w:t>
      </w:r>
    </w:p>
    <w:p w:rsidR="0080015E" w:rsidRPr="00D01EAB" w:rsidRDefault="0080015E" w:rsidP="00D9210B">
      <w:pPr>
        <w:spacing w:line="240" w:lineRule="auto"/>
        <w:rPr>
          <w:rFonts w:cs="ITCCharterCom-Regular"/>
          <w:sz w:val="21"/>
          <w:szCs w:val="21"/>
        </w:rPr>
      </w:pPr>
    </w:p>
    <w:p w:rsidR="0080015E" w:rsidRPr="00D01EAB" w:rsidRDefault="001230BD" w:rsidP="0080015E">
      <w:pPr>
        <w:spacing w:line="240" w:lineRule="auto"/>
        <w:rPr>
          <w:rFonts w:cs="ITCCharterCom-Regular"/>
          <w:sz w:val="21"/>
          <w:szCs w:val="21"/>
        </w:rPr>
      </w:pPr>
      <w:r w:rsidRPr="00D01EAB">
        <w:rPr>
          <w:rFonts w:cs="ITCCharterCom-Regular"/>
          <w:b/>
          <w:sz w:val="21"/>
          <w:szCs w:val="21"/>
        </w:rPr>
        <w:t xml:space="preserve">Regenerating and greening the city: </w:t>
      </w:r>
      <w:r w:rsidR="0080015E" w:rsidRPr="00D01EAB">
        <w:rPr>
          <w:rFonts w:cs="ITCCharterCom-Regular"/>
          <w:b/>
          <w:sz w:val="21"/>
          <w:szCs w:val="21"/>
        </w:rPr>
        <w:t>Phoenix project –Dortmund, Germany</w:t>
      </w:r>
      <w:r w:rsidR="0080015E" w:rsidRPr="00D01EAB">
        <w:rPr>
          <w:rFonts w:cs="ITCCharterCom-Regular"/>
          <w:b/>
          <w:sz w:val="21"/>
          <w:szCs w:val="21"/>
        </w:rPr>
        <w:br/>
      </w:r>
      <w:r w:rsidR="0080015E" w:rsidRPr="00D01EAB">
        <w:rPr>
          <w:rFonts w:cs="ITCCharterCom-Regular"/>
          <w:sz w:val="21"/>
          <w:szCs w:val="21"/>
        </w:rPr>
        <w:t>A large brownfield</w:t>
      </w:r>
      <w:r w:rsidRPr="00D01EAB">
        <w:rPr>
          <w:rFonts w:cs="ITCCharterCom-Regular"/>
          <w:sz w:val="21"/>
          <w:szCs w:val="21"/>
        </w:rPr>
        <w:t xml:space="preserve"> redevelopment project that </w:t>
      </w:r>
      <w:r w:rsidR="006D3DDB">
        <w:rPr>
          <w:rFonts w:cs="ITCCharterCom-Regular"/>
          <w:sz w:val="21"/>
          <w:szCs w:val="21"/>
        </w:rPr>
        <w:t>transformed</w:t>
      </w:r>
      <w:r w:rsidRPr="00D01EAB">
        <w:rPr>
          <w:rFonts w:cs="ITCCharterCom-Regular"/>
          <w:sz w:val="21"/>
          <w:szCs w:val="21"/>
        </w:rPr>
        <w:t xml:space="preserve"> two large connected industrial sites that were previously isolated from the rest of the </w:t>
      </w:r>
      <w:r w:rsidR="00DD164B" w:rsidRPr="00D01EAB">
        <w:rPr>
          <w:rFonts w:cs="ITCCharterCom-Regular"/>
          <w:sz w:val="21"/>
          <w:szCs w:val="21"/>
        </w:rPr>
        <w:t>city. S</w:t>
      </w:r>
      <w:r w:rsidRPr="00D01EAB">
        <w:rPr>
          <w:rFonts w:cs="ITCCharterCom-Regular"/>
          <w:sz w:val="21"/>
          <w:szCs w:val="21"/>
        </w:rPr>
        <w:t>uccess factors include a clear v</w:t>
      </w:r>
      <w:r w:rsidR="00DD164B" w:rsidRPr="00D01EAB">
        <w:rPr>
          <w:rFonts w:cs="ITCCharterCom-Regular"/>
          <w:sz w:val="21"/>
          <w:szCs w:val="21"/>
        </w:rPr>
        <w:t>ision and concrete goals;</w:t>
      </w:r>
      <w:r w:rsidRPr="00D01EAB">
        <w:rPr>
          <w:rFonts w:cs="ITCCharterCom-Regular"/>
          <w:sz w:val="21"/>
          <w:szCs w:val="21"/>
        </w:rPr>
        <w:t xml:space="preserve"> good leadership at the top and on the ground</w:t>
      </w:r>
      <w:r w:rsidR="00DD164B" w:rsidRPr="00D01EAB">
        <w:rPr>
          <w:rFonts w:cs="ITCCharterCom-Regular"/>
          <w:sz w:val="21"/>
          <w:szCs w:val="21"/>
        </w:rPr>
        <w:t>;</w:t>
      </w:r>
      <w:r w:rsidRPr="00D01EAB">
        <w:rPr>
          <w:rFonts w:cs="ITCCharterCom-Regular"/>
          <w:sz w:val="21"/>
          <w:szCs w:val="21"/>
        </w:rPr>
        <w:t xml:space="preserve"> and the right timing.</w:t>
      </w:r>
    </w:p>
    <w:p w:rsidR="001230BD" w:rsidRPr="00D01EAB" w:rsidRDefault="001230BD" w:rsidP="0080015E">
      <w:pPr>
        <w:spacing w:line="240" w:lineRule="auto"/>
        <w:rPr>
          <w:rFonts w:cs="ITCCharterCom-Regular"/>
          <w:sz w:val="21"/>
          <w:szCs w:val="21"/>
        </w:rPr>
      </w:pPr>
    </w:p>
    <w:p w:rsidR="001230BD" w:rsidRPr="00D01EAB" w:rsidRDefault="001230BD" w:rsidP="0080015E">
      <w:pPr>
        <w:spacing w:line="240" w:lineRule="auto"/>
        <w:rPr>
          <w:rFonts w:cs="ITCCharterCom-Regular"/>
          <w:sz w:val="21"/>
          <w:szCs w:val="21"/>
        </w:rPr>
      </w:pPr>
      <w:r w:rsidRPr="00D01EAB">
        <w:rPr>
          <w:rFonts w:cs="ITCCharterCom-Regular"/>
          <w:b/>
          <w:sz w:val="21"/>
          <w:szCs w:val="21"/>
        </w:rPr>
        <w:t>Managing urban mobility: Bus Rapid Transit System – Curitiba, Brazil</w:t>
      </w:r>
      <w:r w:rsidRPr="00D01EAB">
        <w:rPr>
          <w:rFonts w:cs="ITCCharterCom-Regular"/>
          <w:b/>
          <w:sz w:val="21"/>
          <w:szCs w:val="21"/>
        </w:rPr>
        <w:br/>
      </w:r>
      <w:r w:rsidR="006D3DDB">
        <w:rPr>
          <w:rFonts w:cs="ITCCharterCom-Regular"/>
          <w:sz w:val="21"/>
          <w:szCs w:val="21"/>
        </w:rPr>
        <w:t>This</w:t>
      </w:r>
      <w:r w:rsidRPr="00D01EAB">
        <w:rPr>
          <w:rFonts w:cs="ITCCharterCom-Regular"/>
          <w:sz w:val="21"/>
          <w:szCs w:val="21"/>
        </w:rPr>
        <w:t xml:space="preserve"> bus system was the first of its kind to combine service quality of rail services with the cost savings and flexibility of bus transit. Success factors inclu</w:t>
      </w:r>
      <w:r w:rsidR="00DD164B" w:rsidRPr="00D01EAB">
        <w:rPr>
          <w:rFonts w:cs="ITCCharterCom-Regular"/>
          <w:sz w:val="21"/>
          <w:szCs w:val="21"/>
        </w:rPr>
        <w:t>de a visionary, creative leader;</w:t>
      </w:r>
      <w:r w:rsidRPr="00D01EAB">
        <w:rPr>
          <w:rFonts w:cs="ITCCharterCom-Regular"/>
          <w:sz w:val="21"/>
          <w:szCs w:val="21"/>
        </w:rPr>
        <w:t xml:space="preserve"> Curitiba’s participatory approach to urban planning</w:t>
      </w:r>
      <w:r w:rsidR="00DD164B" w:rsidRPr="00D01EAB">
        <w:rPr>
          <w:rFonts w:cs="ITCCharterCom-Regular"/>
          <w:sz w:val="21"/>
          <w:szCs w:val="21"/>
        </w:rPr>
        <w:t>;</w:t>
      </w:r>
      <w:r w:rsidRPr="00D01EAB">
        <w:rPr>
          <w:rFonts w:cs="ITCCharterCom-Regular"/>
          <w:sz w:val="21"/>
          <w:szCs w:val="21"/>
        </w:rPr>
        <w:t xml:space="preserve"> consistent dialogue among key stakeholders</w:t>
      </w:r>
      <w:r w:rsidR="00DD164B" w:rsidRPr="00D01EAB">
        <w:rPr>
          <w:rFonts w:cs="ITCCharterCom-Regular"/>
          <w:sz w:val="21"/>
          <w:szCs w:val="21"/>
        </w:rPr>
        <w:t>;</w:t>
      </w:r>
      <w:r w:rsidRPr="00D01EAB">
        <w:rPr>
          <w:rFonts w:cs="ITCCharterCom-Regular"/>
          <w:sz w:val="21"/>
          <w:szCs w:val="21"/>
        </w:rPr>
        <w:t xml:space="preserve"> and the city’s recognition that urban, environmental and economic development are intrinsically linked.</w:t>
      </w:r>
    </w:p>
    <w:p w:rsidR="001230BD" w:rsidRPr="00D01EAB" w:rsidRDefault="001230BD" w:rsidP="0080015E">
      <w:pPr>
        <w:spacing w:line="240" w:lineRule="auto"/>
        <w:rPr>
          <w:rFonts w:cs="ITCCharterCom-Regular"/>
          <w:sz w:val="21"/>
          <w:szCs w:val="21"/>
        </w:rPr>
      </w:pPr>
    </w:p>
    <w:p w:rsidR="004636F8" w:rsidRPr="00D01EAB" w:rsidRDefault="004636F8" w:rsidP="0080015E">
      <w:pPr>
        <w:spacing w:line="240" w:lineRule="auto"/>
        <w:rPr>
          <w:rFonts w:cs="ITCCharterCom-Regular"/>
          <w:b/>
          <w:sz w:val="21"/>
          <w:szCs w:val="21"/>
        </w:rPr>
      </w:pPr>
      <w:r w:rsidRPr="00D01EAB">
        <w:rPr>
          <w:rFonts w:cs="ITCCharterCom-Regular"/>
          <w:b/>
          <w:sz w:val="21"/>
          <w:szCs w:val="21"/>
        </w:rPr>
        <w:t>Promoting cluster development: Water management, Singapore</w:t>
      </w:r>
      <w:r w:rsidRPr="00D01EAB">
        <w:rPr>
          <w:rFonts w:cs="ITCCharterCom-Regular"/>
          <w:b/>
          <w:sz w:val="21"/>
          <w:szCs w:val="21"/>
        </w:rPr>
        <w:br/>
      </w:r>
      <w:r w:rsidRPr="00D01EAB">
        <w:rPr>
          <w:rFonts w:cs="ITCCharterCom-Regular"/>
          <w:sz w:val="21"/>
          <w:szCs w:val="21"/>
        </w:rPr>
        <w:t>Initiatives aimed at integrating water bodies with the surrounding environment in a holistic way.  Success factors include a water strategy focused on creating economic value for the c</w:t>
      </w:r>
      <w:r w:rsidR="00867179" w:rsidRPr="00D01EAB">
        <w:rPr>
          <w:rFonts w:cs="ITCCharterCom-Regular"/>
          <w:sz w:val="21"/>
          <w:szCs w:val="21"/>
        </w:rPr>
        <w:t>ity-state while being pragmatic;</w:t>
      </w:r>
      <w:r w:rsidRPr="00D01EAB">
        <w:rPr>
          <w:rFonts w:cs="ITCCharterCom-Regular"/>
          <w:sz w:val="21"/>
          <w:szCs w:val="21"/>
        </w:rPr>
        <w:t xml:space="preserve"> long-sighted integration planning and strong coordinat</w:t>
      </w:r>
      <w:r w:rsidR="00867179" w:rsidRPr="00D01EAB">
        <w:rPr>
          <w:rFonts w:cs="ITCCharterCom-Regular"/>
          <w:sz w:val="21"/>
          <w:szCs w:val="21"/>
        </w:rPr>
        <w:t>ion between government agencies;</w:t>
      </w:r>
      <w:r w:rsidRPr="00D01EAB">
        <w:rPr>
          <w:rFonts w:cs="ITCCharterCom-Regular"/>
          <w:sz w:val="21"/>
          <w:szCs w:val="21"/>
        </w:rPr>
        <w:t xml:space="preserve"> and significant investment in R&amp;D and technology showing a strong political will to ‘make it happen.’</w:t>
      </w:r>
      <w:r w:rsidRPr="00D01EAB">
        <w:rPr>
          <w:rFonts w:cs="ITCCharterCom-Regular"/>
          <w:b/>
          <w:sz w:val="21"/>
          <w:szCs w:val="21"/>
        </w:rPr>
        <w:t xml:space="preserve"> </w:t>
      </w:r>
    </w:p>
    <w:p w:rsidR="004636F8" w:rsidRPr="00D01EAB" w:rsidRDefault="004636F8" w:rsidP="0080015E">
      <w:pPr>
        <w:spacing w:line="240" w:lineRule="auto"/>
        <w:rPr>
          <w:rFonts w:cs="ITCCharterCom-Regular"/>
          <w:sz w:val="21"/>
          <w:szCs w:val="21"/>
        </w:rPr>
      </w:pPr>
    </w:p>
    <w:p w:rsidR="001230BD" w:rsidRPr="00D01EAB" w:rsidRDefault="001230BD" w:rsidP="00D9210B">
      <w:pPr>
        <w:spacing w:line="240" w:lineRule="auto"/>
        <w:rPr>
          <w:rFonts w:cs="ITCCharterCom-Regular"/>
          <w:sz w:val="21"/>
          <w:szCs w:val="21"/>
        </w:rPr>
      </w:pPr>
      <w:r w:rsidRPr="00D01EAB">
        <w:rPr>
          <w:rFonts w:cs="ITCCharterCom-Regular"/>
          <w:sz w:val="21"/>
          <w:szCs w:val="21"/>
        </w:rPr>
        <w:lastRenderedPageBreak/>
        <w:t>Tak</w:t>
      </w:r>
      <w:r w:rsidR="00F25AC2" w:rsidRPr="00D01EAB">
        <w:rPr>
          <w:rFonts w:cs="ITCCharterCom-Regular"/>
          <w:sz w:val="21"/>
          <w:szCs w:val="21"/>
        </w:rPr>
        <w:t xml:space="preserve">e look at </w:t>
      </w:r>
      <w:r w:rsidR="00811D07">
        <w:rPr>
          <w:rFonts w:cs="ITCCharterCom-Regular"/>
          <w:sz w:val="21"/>
          <w:szCs w:val="21"/>
        </w:rPr>
        <w:t xml:space="preserve">further findings from </w:t>
      </w:r>
      <w:r w:rsidR="00F25AC2" w:rsidRPr="00D01EAB">
        <w:rPr>
          <w:rFonts w:cs="ITCCharterCom-Regular"/>
          <w:sz w:val="21"/>
          <w:szCs w:val="21"/>
        </w:rPr>
        <w:t xml:space="preserve">all case studies </w:t>
      </w:r>
      <w:r w:rsidR="00D1262E">
        <w:rPr>
          <w:rFonts w:cs="ITCCharterCom-Regular"/>
          <w:sz w:val="21"/>
          <w:szCs w:val="21"/>
        </w:rPr>
        <w:t xml:space="preserve">here: </w:t>
      </w:r>
      <w:hyperlink r:id="rId9" w:history="1">
        <w:r w:rsidR="00FE7941" w:rsidRPr="00D1262E">
          <w:rPr>
            <w:rStyle w:val="Hyperlink"/>
            <w:rFonts w:cs="ITCCharterCom-Regular"/>
            <w:color w:val="auto"/>
            <w:sz w:val="21"/>
            <w:szCs w:val="21"/>
            <w:u w:val="single"/>
          </w:rPr>
          <w:t xml:space="preserve">‘iUrban - </w:t>
        </w:r>
        <w:r w:rsidR="00811D07" w:rsidRPr="00D1262E">
          <w:rPr>
            <w:rStyle w:val="Hyperlink"/>
            <w:rFonts w:cs="ITCCharterCom-Regular"/>
            <w:color w:val="auto"/>
            <w:sz w:val="21"/>
            <w:szCs w:val="21"/>
            <w:u w:val="single"/>
          </w:rPr>
          <w:t>Innovative city strategies for deliver</w:t>
        </w:r>
        <w:r w:rsidR="00D1262E">
          <w:rPr>
            <w:rStyle w:val="Hyperlink"/>
            <w:rFonts w:cs="ITCCharterCom-Regular"/>
            <w:color w:val="auto"/>
            <w:sz w:val="21"/>
            <w:szCs w:val="21"/>
            <w:u w:val="single"/>
          </w:rPr>
          <w:t>ing sustainable competitiveness</w:t>
        </w:r>
        <w:r w:rsidR="00FE7941" w:rsidRPr="00D1262E">
          <w:rPr>
            <w:rStyle w:val="Hyperlink"/>
            <w:rFonts w:cs="ITCCharterCom-Regular"/>
            <w:color w:val="auto"/>
            <w:sz w:val="21"/>
            <w:szCs w:val="21"/>
            <w:u w:val="single"/>
          </w:rPr>
          <w:t>’</w:t>
        </w:r>
      </w:hyperlink>
      <w:r w:rsidR="00D1262E">
        <w:rPr>
          <w:rFonts w:cs="ITCCharterCom-Regular"/>
          <w:sz w:val="21"/>
          <w:szCs w:val="21"/>
        </w:rPr>
        <w:t>.</w:t>
      </w:r>
      <w:r w:rsidR="00811D07">
        <w:rPr>
          <w:rFonts w:cs="ITCCharterCom-Regular"/>
          <w:sz w:val="21"/>
          <w:szCs w:val="21"/>
        </w:rPr>
        <w:t xml:space="preserve"> </w:t>
      </w:r>
    </w:p>
    <w:p w:rsidR="001230BD" w:rsidRDefault="001230BD" w:rsidP="00D9210B">
      <w:pPr>
        <w:spacing w:line="240" w:lineRule="auto"/>
        <w:rPr>
          <w:rFonts w:cs="ITCCharterCom-Regular"/>
          <w:szCs w:val="20"/>
        </w:rPr>
      </w:pPr>
    </w:p>
    <w:p w:rsidR="004636F8" w:rsidRDefault="004636F8">
      <w:pPr>
        <w:autoSpaceDE w:val="0"/>
        <w:autoSpaceDN w:val="0"/>
        <w:adjustRightInd w:val="0"/>
        <w:spacing w:line="240" w:lineRule="auto"/>
        <w:rPr>
          <w:rFonts w:cs="Arial"/>
          <w:b/>
          <w:bCs/>
          <w:color w:val="000000"/>
          <w:szCs w:val="20"/>
          <w:lang w:eastAsia="en-GB"/>
        </w:rPr>
      </w:pPr>
    </w:p>
    <w:p w:rsidR="006A5C94" w:rsidRPr="006A2E47" w:rsidRDefault="00DF1CB4">
      <w:pPr>
        <w:autoSpaceDE w:val="0"/>
        <w:autoSpaceDN w:val="0"/>
        <w:adjustRightInd w:val="0"/>
        <w:spacing w:line="240" w:lineRule="auto"/>
        <w:rPr>
          <w:rFonts w:cs="Arial"/>
          <w:b/>
          <w:bCs/>
          <w:color w:val="000000"/>
          <w:szCs w:val="20"/>
          <w:lang w:eastAsia="en-GB"/>
        </w:rPr>
      </w:pPr>
      <w:r>
        <w:rPr>
          <w:rFonts w:cs="Arial"/>
          <w:b/>
          <w:bCs/>
          <w:color w:val="000000"/>
          <w:szCs w:val="20"/>
          <w:lang w:eastAsia="en-GB"/>
        </w:rPr>
        <w:t>Notes</w:t>
      </w:r>
    </w:p>
    <w:p w:rsidR="006A5C94" w:rsidRDefault="006A5C94">
      <w:pPr>
        <w:autoSpaceDE w:val="0"/>
        <w:autoSpaceDN w:val="0"/>
        <w:adjustRightInd w:val="0"/>
        <w:spacing w:line="240" w:lineRule="auto"/>
        <w:rPr>
          <w:rFonts w:cs="Arial"/>
          <w:color w:val="000000"/>
          <w:lang w:val="en-US"/>
        </w:rPr>
      </w:pPr>
    </w:p>
    <w:p w:rsidR="00565DD1" w:rsidRDefault="004636F8" w:rsidP="00565DD1">
      <w:pPr>
        <w:pStyle w:val="ListParagraph"/>
        <w:numPr>
          <w:ilvl w:val="0"/>
          <w:numId w:val="16"/>
        </w:numPr>
        <w:spacing w:line="240" w:lineRule="auto"/>
        <w:rPr>
          <w:rFonts w:ascii="Georgia" w:hAnsi="Georgia" w:cs="Arial"/>
          <w:sz w:val="20"/>
          <w:szCs w:val="20"/>
          <w:lang w:val="en-US"/>
        </w:rPr>
      </w:pPr>
      <w:r>
        <w:rPr>
          <w:rFonts w:ascii="Georgia" w:hAnsi="Georgia" w:cs="Arial"/>
          <w:sz w:val="20"/>
          <w:szCs w:val="20"/>
          <w:lang w:val="en-US"/>
        </w:rPr>
        <w:t xml:space="preserve">The full report </w:t>
      </w:r>
      <w:r w:rsidR="00F25AC2">
        <w:rPr>
          <w:rFonts w:ascii="Georgia" w:hAnsi="Georgia" w:cs="Arial"/>
          <w:sz w:val="20"/>
          <w:szCs w:val="20"/>
          <w:lang w:val="en-US"/>
        </w:rPr>
        <w:t>–</w:t>
      </w:r>
      <w:r>
        <w:rPr>
          <w:rFonts w:ascii="Georgia" w:hAnsi="Georgia" w:cs="Arial"/>
          <w:sz w:val="20"/>
          <w:szCs w:val="20"/>
          <w:lang w:val="en-US"/>
        </w:rPr>
        <w:t xml:space="preserve"> </w:t>
      </w:r>
      <w:r w:rsidR="00D1262E" w:rsidRPr="00D1262E">
        <w:rPr>
          <w:rFonts w:ascii="Georgia" w:hAnsi="Georgia" w:cs="Arial"/>
          <w:i/>
          <w:sz w:val="20"/>
          <w:szCs w:val="20"/>
          <w:lang w:val="en-US"/>
        </w:rPr>
        <w:t>‘</w:t>
      </w:r>
      <w:r w:rsidR="00F25AC2" w:rsidRPr="00D1262E">
        <w:rPr>
          <w:rFonts w:ascii="Georgia" w:hAnsi="Georgia" w:cs="Arial"/>
          <w:i/>
          <w:sz w:val="20"/>
          <w:szCs w:val="20"/>
          <w:lang w:val="en-US"/>
        </w:rPr>
        <w:t>iUrban – Innovative city strategies for delivering sustainable competitiveness’</w:t>
      </w:r>
      <w:r w:rsidR="00D1262E" w:rsidRPr="00D1262E">
        <w:rPr>
          <w:rFonts w:ascii="Georgia" w:hAnsi="Georgia" w:cs="Arial"/>
          <w:i/>
          <w:sz w:val="20"/>
          <w:szCs w:val="20"/>
          <w:lang w:val="en-US"/>
        </w:rPr>
        <w:t xml:space="preserve"> </w:t>
      </w:r>
      <w:r w:rsidR="00D1262E">
        <w:rPr>
          <w:rFonts w:ascii="Georgia" w:hAnsi="Georgia" w:cs="Arial"/>
          <w:sz w:val="20"/>
          <w:szCs w:val="20"/>
          <w:lang w:val="en-US"/>
        </w:rPr>
        <w:t>–</w:t>
      </w:r>
      <w:r w:rsidR="00F25AC2" w:rsidRPr="00D1262E">
        <w:rPr>
          <w:rFonts w:ascii="Georgia" w:hAnsi="Georgia" w:cs="Arial"/>
          <w:sz w:val="20"/>
          <w:szCs w:val="20"/>
          <w:lang w:val="en-US"/>
        </w:rPr>
        <w:t xml:space="preserve"> can be downloaded at </w:t>
      </w:r>
      <w:hyperlink r:id="rId10" w:history="1">
        <w:r w:rsidR="00565DD1" w:rsidRPr="00490A74">
          <w:rPr>
            <w:rStyle w:val="Hyperlink"/>
            <w:rFonts w:ascii="Georgia" w:hAnsi="Georgia" w:cs="Arial"/>
            <w:sz w:val="20"/>
            <w:szCs w:val="20"/>
            <w:lang w:val="en-US"/>
          </w:rPr>
          <w:t>http://www.iurbanconference2014.nl</w:t>
        </w:r>
      </w:hyperlink>
      <w:r w:rsidR="00D1262E">
        <w:rPr>
          <w:rFonts w:ascii="Georgia" w:hAnsi="Georgia" w:cs="Arial"/>
          <w:sz w:val="20"/>
          <w:szCs w:val="20"/>
          <w:lang w:val="en-US"/>
        </w:rPr>
        <w:t>.</w:t>
      </w:r>
    </w:p>
    <w:p w:rsidR="00565DD1" w:rsidRPr="00565DD1" w:rsidRDefault="00565DD1" w:rsidP="00565DD1">
      <w:pPr>
        <w:spacing w:line="240" w:lineRule="auto"/>
        <w:ind w:left="360"/>
        <w:rPr>
          <w:rFonts w:cs="Arial"/>
          <w:szCs w:val="20"/>
          <w:lang w:val="en-US"/>
        </w:rPr>
      </w:pPr>
    </w:p>
    <w:p w:rsidR="00F724F3" w:rsidRPr="00F724F3" w:rsidRDefault="00F724F3" w:rsidP="00F724F3">
      <w:pPr>
        <w:pStyle w:val="ListParagraph"/>
        <w:numPr>
          <w:ilvl w:val="0"/>
          <w:numId w:val="16"/>
        </w:numPr>
        <w:spacing w:line="240" w:lineRule="auto"/>
        <w:rPr>
          <w:rFonts w:ascii="Georgia" w:hAnsi="Georgia" w:cs="Arial"/>
          <w:sz w:val="20"/>
          <w:szCs w:val="20"/>
          <w:lang w:val="en-US"/>
        </w:rPr>
      </w:pPr>
      <w:r w:rsidRPr="00F724F3">
        <w:rPr>
          <w:rFonts w:ascii="Georgia" w:hAnsi="Georgia"/>
          <w:bCs/>
          <w:sz w:val="20"/>
          <w:szCs w:val="20"/>
        </w:rPr>
        <w:t>P</w:t>
      </w:r>
      <w:r w:rsidRPr="00F724F3">
        <w:rPr>
          <w:rFonts w:ascii="Georgia" w:hAnsi="Georgia"/>
          <w:sz w:val="20"/>
          <w:szCs w:val="20"/>
        </w:rPr>
        <w:t xml:space="preserve">wC helps organisations and individuals create the value they’re looking for. We’re a network of firms in 157 countries with over 184,000 people who are committed to delivering quality in assurance, tax and advisory services. Tell us what matters to you and find out more by visiting us at </w:t>
      </w:r>
      <w:hyperlink r:id="rId11" w:history="1">
        <w:r w:rsidRPr="00F724F3">
          <w:rPr>
            <w:rStyle w:val="Hyperlink"/>
            <w:rFonts w:ascii="Georgia" w:hAnsi="Georgia"/>
            <w:sz w:val="20"/>
            <w:szCs w:val="20"/>
          </w:rPr>
          <w:t>www.pwc.com</w:t>
        </w:r>
      </w:hyperlink>
      <w:r w:rsidRPr="00F724F3">
        <w:rPr>
          <w:rFonts w:ascii="Georgia" w:hAnsi="Georgia"/>
          <w:sz w:val="20"/>
          <w:szCs w:val="20"/>
        </w:rPr>
        <w:t>.</w:t>
      </w:r>
    </w:p>
    <w:p w:rsidR="00F724F3" w:rsidRPr="00F724F3" w:rsidRDefault="00F724F3" w:rsidP="00F724F3">
      <w:pPr>
        <w:spacing w:line="240" w:lineRule="auto"/>
        <w:ind w:left="284" w:firstLine="436"/>
        <w:rPr>
          <w:szCs w:val="20"/>
        </w:rPr>
      </w:pPr>
      <w:r w:rsidRPr="00F724F3">
        <w:rPr>
          <w:szCs w:val="20"/>
        </w:rPr>
        <w:t>©2014 PwC. All rights reserved</w:t>
      </w:r>
    </w:p>
    <w:p w:rsidR="00F724F3" w:rsidRPr="00F724F3" w:rsidRDefault="00F724F3" w:rsidP="00F724F3">
      <w:pPr>
        <w:spacing w:line="240" w:lineRule="auto"/>
        <w:ind w:left="284"/>
        <w:rPr>
          <w:szCs w:val="20"/>
        </w:rPr>
      </w:pPr>
    </w:p>
    <w:p w:rsidR="00F724F3" w:rsidRDefault="00F724F3" w:rsidP="00F724F3">
      <w:pPr>
        <w:spacing w:line="240" w:lineRule="auto"/>
        <w:ind w:left="720"/>
        <w:rPr>
          <w:szCs w:val="20"/>
        </w:rPr>
      </w:pPr>
      <w:r w:rsidRPr="00F724F3">
        <w:rPr>
          <w:szCs w:val="20"/>
        </w:rPr>
        <w:t>PwC refers to the PwC network and/or one or more of its member firms, each of which is a separate legal entity. Please see www.pwc.com/structure for further details</w:t>
      </w:r>
      <w:r w:rsidR="00EE16C6">
        <w:rPr>
          <w:szCs w:val="20"/>
        </w:rPr>
        <w:t>.</w:t>
      </w:r>
    </w:p>
    <w:p w:rsidR="00F25AC2" w:rsidRDefault="00F25AC2" w:rsidP="00F724F3">
      <w:pPr>
        <w:spacing w:line="240" w:lineRule="auto"/>
        <w:ind w:left="720"/>
        <w:rPr>
          <w:szCs w:val="20"/>
        </w:rPr>
      </w:pPr>
    </w:p>
    <w:p w:rsidR="00F25AC2" w:rsidRPr="00F724F3" w:rsidRDefault="00F25AC2" w:rsidP="00F724F3">
      <w:pPr>
        <w:spacing w:line="240" w:lineRule="auto"/>
        <w:ind w:left="720"/>
        <w:rPr>
          <w:szCs w:val="20"/>
        </w:rPr>
      </w:pPr>
    </w:p>
    <w:p w:rsidR="006A5C94" w:rsidRPr="00F724F3" w:rsidRDefault="006A5C94">
      <w:pPr>
        <w:spacing w:line="240" w:lineRule="auto"/>
        <w:rPr>
          <w:rFonts w:cs="Arial"/>
          <w:bCs/>
          <w:szCs w:val="20"/>
        </w:rPr>
      </w:pPr>
    </w:p>
    <w:sectPr w:rsidR="006A5C94" w:rsidRPr="00F724F3" w:rsidSect="005D427C">
      <w:headerReference w:type="even" r:id="rId12"/>
      <w:headerReference w:type="default" r:id="rId13"/>
      <w:footerReference w:type="even" r:id="rId14"/>
      <w:footerReference w:type="default" r:id="rId15"/>
      <w:headerReference w:type="first" r:id="rId16"/>
      <w:pgSz w:w="11907" w:h="16839"/>
      <w:pgMar w:top="3137" w:right="850" w:bottom="1080"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30" w:rsidRDefault="00872530">
      <w:pPr>
        <w:spacing w:line="240" w:lineRule="auto"/>
      </w:pPr>
      <w:r>
        <w:separator/>
      </w:r>
    </w:p>
  </w:endnote>
  <w:endnote w:type="continuationSeparator" w:id="0">
    <w:p w:rsidR="00872530" w:rsidRDefault="00872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ITCCharterCom-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94" w:rsidRDefault="00BB68EC">
    <w:pPr>
      <w:pStyle w:val="Footer"/>
    </w:pPr>
    <w:r>
      <w:fldChar w:fldCharType="begin"/>
    </w:r>
    <w:r>
      <w:instrText xml:space="preserve"> PAGE  \* MERGEFORMAT </w:instrText>
    </w:r>
    <w:r>
      <w:fldChar w:fldCharType="separate"/>
    </w:r>
    <w:r w:rsidR="00B51770">
      <w:rPr>
        <w:noProof/>
      </w:rPr>
      <w:t>2</w:t>
    </w:r>
    <w:r>
      <w:rPr>
        <w:noProof/>
      </w:rPr>
      <w:fldChar w:fldCharType="end"/>
    </w:r>
    <w:r w:rsidR="00DF1CB4">
      <w:t xml:space="preserve"> of </w:t>
    </w:r>
    <w:fldSimple w:instr=" NUMPAGES  \* MERGEFORMAT ">
      <w:r w:rsidR="00B51770">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94" w:rsidRDefault="00BB68EC">
    <w:pPr>
      <w:pStyle w:val="Footer"/>
    </w:pPr>
    <w:r>
      <w:fldChar w:fldCharType="begin"/>
    </w:r>
    <w:r>
      <w:instrText xml:space="preserve"> PAGE  \* MERGEFORMAT </w:instrText>
    </w:r>
    <w:r>
      <w:fldChar w:fldCharType="separate"/>
    </w:r>
    <w:r w:rsidR="00B51770">
      <w:rPr>
        <w:noProof/>
      </w:rPr>
      <w:t>3</w:t>
    </w:r>
    <w:r>
      <w:rPr>
        <w:noProof/>
      </w:rPr>
      <w:fldChar w:fldCharType="end"/>
    </w:r>
    <w:r w:rsidR="00DF1CB4">
      <w:t xml:space="preserve"> of </w:t>
    </w:r>
    <w:fldSimple w:instr=" NUMPAGES  \* MERGEFORMAT ">
      <w:r w:rsidR="00B51770">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30" w:rsidRDefault="00872530">
      <w:pPr>
        <w:spacing w:line="240" w:lineRule="auto"/>
      </w:pPr>
      <w:r>
        <w:separator/>
      </w:r>
    </w:p>
  </w:footnote>
  <w:footnote w:type="continuationSeparator" w:id="0">
    <w:p w:rsidR="00872530" w:rsidRDefault="008725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94" w:rsidRDefault="00DF1CB4">
    <w:pPr>
      <w:pStyle w:val="Header"/>
    </w:pPr>
    <w:r>
      <w:rPr>
        <w:noProof/>
        <w:lang w:val="en-US"/>
      </w:rPr>
      <w:drawing>
        <wp:anchor distT="0" distB="0" distL="114300" distR="114300" simplePos="0" relativeHeight="251658752" behindDoc="0" locked="1" layoutInCell="1" allowOverlap="1" wp14:anchorId="49DC3378" wp14:editId="1FAF656D">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6A5C94" w:rsidRDefault="006A5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94" w:rsidRDefault="00DF1CB4">
    <w:pPr>
      <w:pStyle w:val="Header"/>
    </w:pPr>
    <w:r>
      <w:rPr>
        <w:noProof/>
        <w:lang w:val="en-US"/>
      </w:rPr>
      <w:drawing>
        <wp:anchor distT="0" distB="0" distL="114300" distR="114300" simplePos="0" relativeHeight="251657728" behindDoc="0" locked="1" layoutInCell="1" allowOverlap="1" wp14:anchorId="26D2D07B" wp14:editId="0094B5E9">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6A5C94" w:rsidRDefault="006A5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94" w:rsidRDefault="00DF1CB4">
    <w:pPr>
      <w:pStyle w:val="Header"/>
    </w:pPr>
    <w:r>
      <w:rPr>
        <w:noProof/>
        <w:lang w:val="en-US"/>
      </w:rPr>
      <w:drawing>
        <wp:anchor distT="0" distB="0" distL="114300" distR="114300" simplePos="0" relativeHeight="251656704" behindDoc="0" locked="1" layoutInCell="1" allowOverlap="1" wp14:anchorId="64135A19" wp14:editId="55746299">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9AA"/>
    <w:multiLevelType w:val="hybridMultilevel"/>
    <w:tmpl w:val="3EF0DC52"/>
    <w:lvl w:ilvl="0" w:tplc="D8F610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441B1"/>
    <w:multiLevelType w:val="hybridMultilevel"/>
    <w:tmpl w:val="AF36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87190"/>
    <w:multiLevelType w:val="hybridMultilevel"/>
    <w:tmpl w:val="D84A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392E7E"/>
    <w:multiLevelType w:val="hybridMultilevel"/>
    <w:tmpl w:val="8FC4C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9F521D2"/>
    <w:multiLevelType w:val="hybridMultilevel"/>
    <w:tmpl w:val="039E4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9B577D"/>
    <w:multiLevelType w:val="hybridMultilevel"/>
    <w:tmpl w:val="5EC2B29A"/>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D146730"/>
    <w:multiLevelType w:val="hybridMultilevel"/>
    <w:tmpl w:val="DDD4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5F006C"/>
    <w:multiLevelType w:val="hybridMultilevel"/>
    <w:tmpl w:val="373AFF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76C4C49"/>
    <w:multiLevelType w:val="hybridMultilevel"/>
    <w:tmpl w:val="A94A24E0"/>
    <w:lvl w:ilvl="0" w:tplc="902C4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78593B"/>
    <w:multiLevelType w:val="hybridMultilevel"/>
    <w:tmpl w:val="01EE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8C7D0D"/>
    <w:multiLevelType w:val="hybridMultilevel"/>
    <w:tmpl w:val="70780B76"/>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41875"/>
    <w:multiLevelType w:val="hybridMultilevel"/>
    <w:tmpl w:val="FF3675D0"/>
    <w:lvl w:ilvl="0" w:tplc="32541E2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02B1DBC"/>
    <w:multiLevelType w:val="hybridMultilevel"/>
    <w:tmpl w:val="FCA28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DD30E3"/>
    <w:multiLevelType w:val="hybridMultilevel"/>
    <w:tmpl w:val="431E34F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1E49C3"/>
    <w:multiLevelType w:val="hybridMultilevel"/>
    <w:tmpl w:val="21DC689E"/>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22">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3078EC"/>
    <w:multiLevelType w:val="hybridMultilevel"/>
    <w:tmpl w:val="F1B2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74B88"/>
    <w:multiLevelType w:val="hybridMultilevel"/>
    <w:tmpl w:val="C85AAE96"/>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8E67DA"/>
    <w:multiLevelType w:val="hybridMultilevel"/>
    <w:tmpl w:val="B0CE48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0345227"/>
    <w:multiLevelType w:val="hybridMultilevel"/>
    <w:tmpl w:val="428697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08868B0"/>
    <w:multiLevelType w:val="hybridMultilevel"/>
    <w:tmpl w:val="F4CE3CD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12158FC"/>
    <w:multiLevelType w:val="hybridMultilevel"/>
    <w:tmpl w:val="33686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25D364A"/>
    <w:multiLevelType w:val="hybridMultilevel"/>
    <w:tmpl w:val="D7D46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4D2A99"/>
    <w:multiLevelType w:val="hybridMultilevel"/>
    <w:tmpl w:val="B4269B6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CF6391"/>
    <w:multiLevelType w:val="hybridMultilevel"/>
    <w:tmpl w:val="EA5EA456"/>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32">
    <w:nsid w:val="59677C75"/>
    <w:multiLevelType w:val="hybridMultilevel"/>
    <w:tmpl w:val="E08E27B0"/>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33">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4">
    <w:nsid w:val="5C056CD3"/>
    <w:multiLevelType w:val="hybridMultilevel"/>
    <w:tmpl w:val="5150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42294F"/>
    <w:multiLevelType w:val="hybridMultilevel"/>
    <w:tmpl w:val="138A0FAA"/>
    <w:lvl w:ilvl="0" w:tplc="32541E28">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A35B2F"/>
    <w:multiLevelType w:val="hybridMultilevel"/>
    <w:tmpl w:val="A6BA9F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3AA3EAC"/>
    <w:multiLevelType w:val="hybridMultilevel"/>
    <w:tmpl w:val="1CDE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D751B6"/>
    <w:multiLevelType w:val="hybridMultilevel"/>
    <w:tmpl w:val="8F92528E"/>
    <w:lvl w:ilvl="0" w:tplc="E6DC1BFA">
      <w:start w:val="1"/>
      <w:numFmt w:val="decimal"/>
      <w:pStyle w:val="ListNumbered"/>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9">
    <w:nsid w:val="71435CC6"/>
    <w:multiLevelType w:val="hybridMultilevel"/>
    <w:tmpl w:val="E2F8C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7E31BD"/>
    <w:multiLevelType w:val="hybridMultilevel"/>
    <w:tmpl w:val="A5EE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138D7"/>
    <w:multiLevelType w:val="hybridMultilevel"/>
    <w:tmpl w:val="CB6ED1D4"/>
    <w:lvl w:ilvl="0" w:tplc="32541E28">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7E707F"/>
    <w:multiLevelType w:val="hybridMultilevel"/>
    <w:tmpl w:val="AF36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A42CCF"/>
    <w:multiLevelType w:val="hybridMultilevel"/>
    <w:tmpl w:val="8C32C598"/>
    <w:lvl w:ilvl="0" w:tplc="32541E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96630F"/>
    <w:multiLevelType w:val="hybridMultilevel"/>
    <w:tmpl w:val="E2B84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6"/>
  </w:num>
  <w:num w:numId="4">
    <w:abstractNumId w:val="38"/>
  </w:num>
  <w:num w:numId="5">
    <w:abstractNumId w:val="38"/>
    <w:lvlOverride w:ilvl="0">
      <w:startOverride w:val="1"/>
    </w:lvlOverride>
  </w:num>
  <w:num w:numId="6">
    <w:abstractNumId w:val="8"/>
  </w:num>
  <w:num w:numId="7">
    <w:abstractNumId w:val="25"/>
  </w:num>
  <w:num w:numId="8">
    <w:abstractNumId w:val="26"/>
  </w:num>
  <w:num w:numId="9">
    <w:abstractNumId w:val="22"/>
  </w:num>
  <w:num w:numId="10">
    <w:abstractNumId w:val="1"/>
  </w:num>
  <w:num w:numId="11">
    <w:abstractNumId w:val="6"/>
  </w:num>
  <w:num w:numId="12">
    <w:abstractNumId w:val="19"/>
  </w:num>
  <w:num w:numId="13">
    <w:abstractNumId w:val="12"/>
  </w:num>
  <w:num w:numId="14">
    <w:abstractNumId w:val="33"/>
  </w:num>
  <w:num w:numId="15">
    <w:abstractNumId w:val="3"/>
  </w:num>
  <w:num w:numId="16">
    <w:abstractNumId w:val="42"/>
  </w:num>
  <w:num w:numId="17">
    <w:abstractNumId w:val="37"/>
  </w:num>
  <w:num w:numId="18">
    <w:abstractNumId w:val="41"/>
  </w:num>
  <w:num w:numId="19">
    <w:abstractNumId w:val="17"/>
  </w:num>
  <w:num w:numId="20">
    <w:abstractNumId w:val="15"/>
  </w:num>
  <w:num w:numId="21">
    <w:abstractNumId w:val="9"/>
  </w:num>
  <w:num w:numId="22">
    <w:abstractNumId w:val="20"/>
  </w:num>
  <w:num w:numId="23">
    <w:abstractNumId w:val="30"/>
  </w:num>
  <w:num w:numId="24">
    <w:abstractNumId w:val="18"/>
  </w:num>
  <w:num w:numId="25">
    <w:abstractNumId w:val="5"/>
  </w:num>
  <w:num w:numId="26">
    <w:abstractNumId w:val="28"/>
  </w:num>
  <w:num w:numId="27">
    <w:abstractNumId w:val="21"/>
  </w:num>
  <w:num w:numId="28">
    <w:abstractNumId w:val="32"/>
  </w:num>
  <w:num w:numId="29">
    <w:abstractNumId w:val="31"/>
  </w:num>
  <w:num w:numId="30">
    <w:abstractNumId w:val="34"/>
  </w:num>
  <w:num w:numId="31">
    <w:abstractNumId w:val="10"/>
  </w:num>
  <w:num w:numId="32">
    <w:abstractNumId w:val="4"/>
  </w:num>
  <w:num w:numId="33">
    <w:abstractNumId w:val="2"/>
  </w:num>
  <w:num w:numId="34">
    <w:abstractNumId w:val="36"/>
  </w:num>
  <w:num w:numId="35">
    <w:abstractNumId w:val="29"/>
  </w:num>
  <w:num w:numId="36">
    <w:abstractNumId w:val="39"/>
  </w:num>
  <w:num w:numId="37">
    <w:abstractNumId w:val="35"/>
  </w:num>
  <w:num w:numId="38">
    <w:abstractNumId w:val="24"/>
  </w:num>
  <w:num w:numId="39">
    <w:abstractNumId w:val="43"/>
  </w:num>
  <w:num w:numId="40">
    <w:abstractNumId w:val="44"/>
  </w:num>
  <w:num w:numId="41">
    <w:abstractNumId w:val="27"/>
  </w:num>
  <w:num w:numId="42">
    <w:abstractNumId w:val="14"/>
  </w:num>
  <w:num w:numId="43">
    <w:abstractNumId w:val="40"/>
  </w:num>
  <w:num w:numId="44">
    <w:abstractNumId w:val="13"/>
  </w:num>
  <w:num w:numId="45">
    <w:abstractNumId w:val="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94"/>
    <w:rsid w:val="00013F34"/>
    <w:rsid w:val="000172EE"/>
    <w:rsid w:val="00026A59"/>
    <w:rsid w:val="00030DDD"/>
    <w:rsid w:val="00040BA4"/>
    <w:rsid w:val="000E59F3"/>
    <w:rsid w:val="00104A9A"/>
    <w:rsid w:val="00120AC4"/>
    <w:rsid w:val="001230BD"/>
    <w:rsid w:val="00123A06"/>
    <w:rsid w:val="001244A2"/>
    <w:rsid w:val="001A0554"/>
    <w:rsid w:val="001B77C1"/>
    <w:rsid w:val="00201991"/>
    <w:rsid w:val="0022398C"/>
    <w:rsid w:val="0025604B"/>
    <w:rsid w:val="00264B02"/>
    <w:rsid w:val="0029320F"/>
    <w:rsid w:val="002B4000"/>
    <w:rsid w:val="002F4365"/>
    <w:rsid w:val="00311B2D"/>
    <w:rsid w:val="00317AB3"/>
    <w:rsid w:val="00351EAE"/>
    <w:rsid w:val="00355BF8"/>
    <w:rsid w:val="0038541E"/>
    <w:rsid w:val="003A712F"/>
    <w:rsid w:val="003C250C"/>
    <w:rsid w:val="003C40F4"/>
    <w:rsid w:val="003D2D73"/>
    <w:rsid w:val="004025CC"/>
    <w:rsid w:val="004144EF"/>
    <w:rsid w:val="00426DBA"/>
    <w:rsid w:val="00444C7E"/>
    <w:rsid w:val="00454901"/>
    <w:rsid w:val="00463144"/>
    <w:rsid w:val="004636F8"/>
    <w:rsid w:val="0046472B"/>
    <w:rsid w:val="00467691"/>
    <w:rsid w:val="00530A1A"/>
    <w:rsid w:val="00552957"/>
    <w:rsid w:val="005554F8"/>
    <w:rsid w:val="00565DD1"/>
    <w:rsid w:val="00566901"/>
    <w:rsid w:val="00576F8C"/>
    <w:rsid w:val="00586545"/>
    <w:rsid w:val="00592A8F"/>
    <w:rsid w:val="005A01FF"/>
    <w:rsid w:val="005D427C"/>
    <w:rsid w:val="005D78D9"/>
    <w:rsid w:val="005E3EF0"/>
    <w:rsid w:val="006554C0"/>
    <w:rsid w:val="00661F43"/>
    <w:rsid w:val="006A2E47"/>
    <w:rsid w:val="006A4D08"/>
    <w:rsid w:val="006A5C94"/>
    <w:rsid w:val="006D3DDB"/>
    <w:rsid w:val="006E2D95"/>
    <w:rsid w:val="00782036"/>
    <w:rsid w:val="007B453E"/>
    <w:rsid w:val="007C5EB9"/>
    <w:rsid w:val="007F4BE5"/>
    <w:rsid w:val="007F5E3F"/>
    <w:rsid w:val="0080015E"/>
    <w:rsid w:val="00811D07"/>
    <w:rsid w:val="00813EDB"/>
    <w:rsid w:val="008366F0"/>
    <w:rsid w:val="00867179"/>
    <w:rsid w:val="00872530"/>
    <w:rsid w:val="008C0C85"/>
    <w:rsid w:val="008C6CE3"/>
    <w:rsid w:val="008D68E5"/>
    <w:rsid w:val="009163AF"/>
    <w:rsid w:val="009467DE"/>
    <w:rsid w:val="0098032B"/>
    <w:rsid w:val="00993179"/>
    <w:rsid w:val="009B396B"/>
    <w:rsid w:val="009B79C8"/>
    <w:rsid w:val="009C59FD"/>
    <w:rsid w:val="009E4207"/>
    <w:rsid w:val="00A105CA"/>
    <w:rsid w:val="00A2102B"/>
    <w:rsid w:val="00A75E57"/>
    <w:rsid w:val="00A96061"/>
    <w:rsid w:val="00AA50A3"/>
    <w:rsid w:val="00AD0152"/>
    <w:rsid w:val="00AD07B5"/>
    <w:rsid w:val="00B263C9"/>
    <w:rsid w:val="00B34F74"/>
    <w:rsid w:val="00B37122"/>
    <w:rsid w:val="00B427CD"/>
    <w:rsid w:val="00B51770"/>
    <w:rsid w:val="00B677A2"/>
    <w:rsid w:val="00B71DE6"/>
    <w:rsid w:val="00BA0D3A"/>
    <w:rsid w:val="00BB0D77"/>
    <w:rsid w:val="00BB68EC"/>
    <w:rsid w:val="00BD32E7"/>
    <w:rsid w:val="00BE55FE"/>
    <w:rsid w:val="00C00CCB"/>
    <w:rsid w:val="00C043D4"/>
    <w:rsid w:val="00C17114"/>
    <w:rsid w:val="00C46D6C"/>
    <w:rsid w:val="00C7049B"/>
    <w:rsid w:val="00C9294E"/>
    <w:rsid w:val="00C956FD"/>
    <w:rsid w:val="00CC03E8"/>
    <w:rsid w:val="00CC33E1"/>
    <w:rsid w:val="00CD3D26"/>
    <w:rsid w:val="00CF72C5"/>
    <w:rsid w:val="00D01EAB"/>
    <w:rsid w:val="00D05650"/>
    <w:rsid w:val="00D1262E"/>
    <w:rsid w:val="00D353C7"/>
    <w:rsid w:val="00D73EE9"/>
    <w:rsid w:val="00D9210B"/>
    <w:rsid w:val="00DA1997"/>
    <w:rsid w:val="00DB0672"/>
    <w:rsid w:val="00DD14B3"/>
    <w:rsid w:val="00DD164B"/>
    <w:rsid w:val="00DF1CB4"/>
    <w:rsid w:val="00DF5003"/>
    <w:rsid w:val="00E0720F"/>
    <w:rsid w:val="00E10204"/>
    <w:rsid w:val="00E10E24"/>
    <w:rsid w:val="00E34E86"/>
    <w:rsid w:val="00E361FE"/>
    <w:rsid w:val="00E54D68"/>
    <w:rsid w:val="00EA0520"/>
    <w:rsid w:val="00EA749B"/>
    <w:rsid w:val="00EB24D6"/>
    <w:rsid w:val="00EC71D0"/>
    <w:rsid w:val="00ED42C7"/>
    <w:rsid w:val="00ED42F3"/>
    <w:rsid w:val="00EE16C6"/>
    <w:rsid w:val="00EE30C1"/>
    <w:rsid w:val="00EE7DA2"/>
    <w:rsid w:val="00F000D0"/>
    <w:rsid w:val="00F030B4"/>
    <w:rsid w:val="00F0787B"/>
    <w:rsid w:val="00F177D0"/>
    <w:rsid w:val="00F25AC2"/>
    <w:rsid w:val="00F57E46"/>
    <w:rsid w:val="00F721E6"/>
    <w:rsid w:val="00F724F3"/>
    <w:rsid w:val="00F81888"/>
    <w:rsid w:val="00FB2D91"/>
    <w:rsid w:val="00FB34A4"/>
    <w:rsid w:val="00FE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99"/>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4"/>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rsid w:val="006A5C94"/>
    <w:rPr>
      <w:vertAlign w:val="superscript"/>
    </w:rPr>
  </w:style>
  <w:style w:type="paragraph" w:styleId="NormalWeb">
    <w:name w:val="Normal (Web)"/>
    <w:basedOn w:val="Normal"/>
    <w:rsid w:val="00026A59"/>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rsid w:val="00030DDD"/>
    <w:pPr>
      <w:spacing w:line="240" w:lineRule="auto"/>
    </w:pPr>
    <w:rPr>
      <w:rFonts w:ascii="Arial" w:eastAsia="Times New Roman" w:hAnsi="Arial"/>
      <w:szCs w:val="20"/>
    </w:rPr>
  </w:style>
  <w:style w:type="character" w:customStyle="1" w:styleId="FootnoteTextChar">
    <w:name w:val="Footnote Text Char"/>
    <w:basedOn w:val="DefaultParagraphFont"/>
    <w:link w:val="FootnoteText"/>
    <w:rsid w:val="00030DDD"/>
    <w:rPr>
      <w:rFonts w:ascii="Arial" w:eastAsia="Times New Roman" w:hAnsi="Arial"/>
      <w:sz w:val="20"/>
      <w:szCs w:val="20"/>
      <w:lang w:eastAsia="en-US"/>
    </w:rPr>
  </w:style>
  <w:style w:type="character" w:styleId="FollowedHyperlink">
    <w:name w:val="FollowedHyperlink"/>
    <w:basedOn w:val="DefaultParagraphFont"/>
    <w:uiPriority w:val="99"/>
    <w:semiHidden/>
    <w:unhideWhenUsed/>
    <w:rsid w:val="00F57E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locked="1" w:semiHidden="0" w:uiPriority="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semiHidden/>
    <w:rsid w:val="006A5C94"/>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99"/>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4"/>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rsid w:val="006A5C94"/>
    <w:rPr>
      <w:vertAlign w:val="superscript"/>
    </w:rPr>
  </w:style>
  <w:style w:type="paragraph" w:styleId="NormalWeb">
    <w:name w:val="Normal (Web)"/>
    <w:basedOn w:val="Normal"/>
    <w:rsid w:val="00026A59"/>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rsid w:val="00030DDD"/>
    <w:pPr>
      <w:spacing w:line="240" w:lineRule="auto"/>
    </w:pPr>
    <w:rPr>
      <w:rFonts w:ascii="Arial" w:eastAsia="Times New Roman" w:hAnsi="Arial"/>
      <w:szCs w:val="20"/>
    </w:rPr>
  </w:style>
  <w:style w:type="character" w:customStyle="1" w:styleId="FootnoteTextChar">
    <w:name w:val="Footnote Text Char"/>
    <w:basedOn w:val="DefaultParagraphFont"/>
    <w:link w:val="FootnoteText"/>
    <w:rsid w:val="00030DDD"/>
    <w:rPr>
      <w:rFonts w:ascii="Arial" w:eastAsia="Times New Roman" w:hAnsi="Arial"/>
      <w:sz w:val="20"/>
      <w:szCs w:val="20"/>
      <w:lang w:eastAsia="en-US"/>
    </w:rPr>
  </w:style>
  <w:style w:type="character" w:styleId="FollowedHyperlink">
    <w:name w:val="FollowedHyperlink"/>
    <w:basedOn w:val="DefaultParagraphFont"/>
    <w:uiPriority w:val="99"/>
    <w:semiHidden/>
    <w:unhideWhenUsed/>
    <w:rsid w:val="00F57E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50724">
      <w:marLeft w:val="0"/>
      <w:marRight w:val="0"/>
      <w:marTop w:val="0"/>
      <w:marBottom w:val="0"/>
      <w:divBdr>
        <w:top w:val="none" w:sz="0" w:space="0" w:color="auto"/>
        <w:left w:val="none" w:sz="0" w:space="0" w:color="auto"/>
        <w:bottom w:val="none" w:sz="0" w:space="0" w:color="auto"/>
        <w:right w:val="none" w:sz="0" w:space="0" w:color="auto"/>
      </w:divBdr>
      <w:divsChild>
        <w:div w:id="1010450727">
          <w:marLeft w:val="0"/>
          <w:marRight w:val="0"/>
          <w:marTop w:val="375"/>
          <w:marBottom w:val="0"/>
          <w:divBdr>
            <w:top w:val="none" w:sz="0" w:space="0" w:color="auto"/>
            <w:left w:val="none" w:sz="0" w:space="0" w:color="auto"/>
            <w:bottom w:val="none" w:sz="0" w:space="0" w:color="auto"/>
            <w:right w:val="none" w:sz="0" w:space="0" w:color="auto"/>
          </w:divBdr>
          <w:divsChild>
            <w:div w:id="1010450732">
              <w:marLeft w:val="0"/>
              <w:marRight w:val="0"/>
              <w:marTop w:val="0"/>
              <w:marBottom w:val="0"/>
              <w:divBdr>
                <w:top w:val="none" w:sz="0" w:space="0" w:color="auto"/>
                <w:left w:val="none" w:sz="0" w:space="0" w:color="auto"/>
                <w:bottom w:val="none" w:sz="0" w:space="0" w:color="auto"/>
                <w:right w:val="none" w:sz="0" w:space="0" w:color="auto"/>
              </w:divBdr>
              <w:divsChild>
                <w:div w:id="1010450716">
                  <w:marLeft w:val="0"/>
                  <w:marRight w:val="0"/>
                  <w:marTop w:val="0"/>
                  <w:marBottom w:val="0"/>
                  <w:divBdr>
                    <w:top w:val="none" w:sz="0" w:space="0" w:color="auto"/>
                    <w:left w:val="none" w:sz="0" w:space="0" w:color="auto"/>
                    <w:bottom w:val="none" w:sz="0" w:space="0" w:color="auto"/>
                    <w:right w:val="none" w:sz="0" w:space="0" w:color="auto"/>
                  </w:divBdr>
                  <w:divsChild>
                    <w:div w:id="1010450730">
                      <w:marLeft w:val="0"/>
                      <w:marRight w:val="0"/>
                      <w:marTop w:val="0"/>
                      <w:marBottom w:val="0"/>
                      <w:divBdr>
                        <w:top w:val="none" w:sz="0" w:space="0" w:color="auto"/>
                        <w:left w:val="none" w:sz="0" w:space="0" w:color="auto"/>
                        <w:bottom w:val="none" w:sz="0" w:space="0" w:color="auto"/>
                        <w:right w:val="none" w:sz="0" w:space="0" w:color="auto"/>
                      </w:divBdr>
                      <w:divsChild>
                        <w:div w:id="1010450718">
                          <w:marLeft w:val="150"/>
                          <w:marRight w:val="0"/>
                          <w:marTop w:val="0"/>
                          <w:marBottom w:val="0"/>
                          <w:divBdr>
                            <w:top w:val="none" w:sz="0" w:space="0" w:color="auto"/>
                            <w:left w:val="none" w:sz="0" w:space="0" w:color="auto"/>
                            <w:bottom w:val="none" w:sz="0" w:space="0" w:color="auto"/>
                            <w:right w:val="none" w:sz="0" w:space="0" w:color="auto"/>
                          </w:divBdr>
                          <w:divsChild>
                            <w:div w:id="1010450737">
                              <w:marLeft w:val="0"/>
                              <w:marRight w:val="0"/>
                              <w:marTop w:val="0"/>
                              <w:marBottom w:val="0"/>
                              <w:divBdr>
                                <w:top w:val="none" w:sz="0" w:space="0" w:color="auto"/>
                                <w:left w:val="none" w:sz="0" w:space="0" w:color="auto"/>
                                <w:bottom w:val="none" w:sz="0" w:space="0" w:color="auto"/>
                                <w:right w:val="none" w:sz="0" w:space="0" w:color="auto"/>
                              </w:divBdr>
                              <w:divsChild>
                                <w:div w:id="1010450731">
                                  <w:marLeft w:val="0"/>
                                  <w:marRight w:val="0"/>
                                  <w:marTop w:val="0"/>
                                  <w:marBottom w:val="0"/>
                                  <w:divBdr>
                                    <w:top w:val="none" w:sz="0" w:space="0" w:color="auto"/>
                                    <w:left w:val="none" w:sz="0" w:space="0" w:color="auto"/>
                                    <w:bottom w:val="none" w:sz="0" w:space="0" w:color="auto"/>
                                    <w:right w:val="none" w:sz="0" w:space="0" w:color="auto"/>
                                  </w:divBdr>
                                  <w:divsChild>
                                    <w:div w:id="1010450734">
                                      <w:marLeft w:val="0"/>
                                      <w:marRight w:val="0"/>
                                      <w:marTop w:val="0"/>
                                      <w:marBottom w:val="0"/>
                                      <w:divBdr>
                                        <w:top w:val="none" w:sz="0" w:space="0" w:color="auto"/>
                                        <w:left w:val="none" w:sz="0" w:space="0" w:color="auto"/>
                                        <w:bottom w:val="none" w:sz="0" w:space="0" w:color="auto"/>
                                        <w:right w:val="none" w:sz="0" w:space="0" w:color="auto"/>
                                      </w:divBdr>
                                      <w:divsChild>
                                        <w:div w:id="1010450720">
                                          <w:marLeft w:val="0"/>
                                          <w:marRight w:val="0"/>
                                          <w:marTop w:val="0"/>
                                          <w:marBottom w:val="0"/>
                                          <w:divBdr>
                                            <w:top w:val="none" w:sz="0" w:space="0" w:color="auto"/>
                                            <w:left w:val="none" w:sz="0" w:space="0" w:color="auto"/>
                                            <w:bottom w:val="single" w:sz="6" w:space="8" w:color="D8D4D0"/>
                                            <w:right w:val="none" w:sz="0" w:space="0" w:color="auto"/>
                                          </w:divBdr>
                                          <w:divsChild>
                                            <w:div w:id="1010450715">
                                              <w:marLeft w:val="0"/>
                                              <w:marRight w:val="0"/>
                                              <w:marTop w:val="0"/>
                                              <w:marBottom w:val="0"/>
                                              <w:divBdr>
                                                <w:top w:val="none" w:sz="0" w:space="0" w:color="auto"/>
                                                <w:left w:val="none" w:sz="0" w:space="0" w:color="auto"/>
                                                <w:bottom w:val="none" w:sz="0" w:space="0" w:color="auto"/>
                                                <w:right w:val="none" w:sz="0" w:space="0" w:color="auto"/>
                                              </w:divBdr>
                                            </w:div>
                                            <w:div w:id="1010450717">
                                              <w:marLeft w:val="0"/>
                                              <w:marRight w:val="0"/>
                                              <w:marTop w:val="0"/>
                                              <w:marBottom w:val="0"/>
                                              <w:divBdr>
                                                <w:top w:val="none" w:sz="0" w:space="0" w:color="auto"/>
                                                <w:left w:val="none" w:sz="0" w:space="0" w:color="auto"/>
                                                <w:bottom w:val="none" w:sz="0" w:space="0" w:color="auto"/>
                                                <w:right w:val="none" w:sz="0" w:space="0" w:color="auto"/>
                                              </w:divBdr>
                                            </w:div>
                                            <w:div w:id="1010450719">
                                              <w:marLeft w:val="0"/>
                                              <w:marRight w:val="0"/>
                                              <w:marTop w:val="120"/>
                                              <w:marBottom w:val="0"/>
                                              <w:divBdr>
                                                <w:top w:val="none" w:sz="0" w:space="0" w:color="auto"/>
                                                <w:left w:val="none" w:sz="0" w:space="0" w:color="auto"/>
                                                <w:bottom w:val="none" w:sz="0" w:space="0" w:color="auto"/>
                                                <w:right w:val="none" w:sz="0" w:space="0" w:color="auto"/>
                                              </w:divBdr>
                                            </w:div>
                                            <w:div w:id="1010450721">
                                              <w:marLeft w:val="0"/>
                                              <w:marRight w:val="150"/>
                                              <w:marTop w:val="0"/>
                                              <w:marBottom w:val="0"/>
                                              <w:divBdr>
                                                <w:top w:val="none" w:sz="0" w:space="0" w:color="auto"/>
                                                <w:left w:val="none" w:sz="0" w:space="0" w:color="auto"/>
                                                <w:bottom w:val="none" w:sz="0" w:space="0" w:color="auto"/>
                                                <w:right w:val="single" w:sz="6" w:space="8" w:color="63513F"/>
                                              </w:divBdr>
                                            </w:div>
                                            <w:div w:id="1010450722">
                                              <w:marLeft w:val="0"/>
                                              <w:marRight w:val="0"/>
                                              <w:marTop w:val="0"/>
                                              <w:marBottom w:val="0"/>
                                              <w:divBdr>
                                                <w:top w:val="none" w:sz="0" w:space="0" w:color="auto"/>
                                                <w:left w:val="none" w:sz="0" w:space="0" w:color="auto"/>
                                                <w:bottom w:val="none" w:sz="0" w:space="0" w:color="auto"/>
                                                <w:right w:val="none" w:sz="0" w:space="0" w:color="auto"/>
                                              </w:divBdr>
                                            </w:div>
                                            <w:div w:id="1010450723">
                                              <w:marLeft w:val="0"/>
                                              <w:marRight w:val="0"/>
                                              <w:marTop w:val="150"/>
                                              <w:marBottom w:val="75"/>
                                              <w:divBdr>
                                                <w:top w:val="none" w:sz="0" w:space="0" w:color="auto"/>
                                                <w:left w:val="none" w:sz="0" w:space="0" w:color="auto"/>
                                                <w:bottom w:val="none" w:sz="0" w:space="0" w:color="auto"/>
                                                <w:right w:val="none" w:sz="0" w:space="0" w:color="auto"/>
                                              </w:divBdr>
                                            </w:div>
                                            <w:div w:id="1010450725">
                                              <w:marLeft w:val="0"/>
                                              <w:marRight w:val="0"/>
                                              <w:marTop w:val="150"/>
                                              <w:marBottom w:val="75"/>
                                              <w:divBdr>
                                                <w:top w:val="none" w:sz="0" w:space="0" w:color="auto"/>
                                                <w:left w:val="none" w:sz="0" w:space="0" w:color="auto"/>
                                                <w:bottom w:val="none" w:sz="0" w:space="0" w:color="auto"/>
                                                <w:right w:val="none" w:sz="0" w:space="0" w:color="auto"/>
                                              </w:divBdr>
                                            </w:div>
                                            <w:div w:id="1010450726">
                                              <w:marLeft w:val="0"/>
                                              <w:marRight w:val="150"/>
                                              <w:marTop w:val="0"/>
                                              <w:marBottom w:val="0"/>
                                              <w:divBdr>
                                                <w:top w:val="none" w:sz="0" w:space="0" w:color="auto"/>
                                                <w:left w:val="none" w:sz="0" w:space="0" w:color="auto"/>
                                                <w:bottom w:val="none" w:sz="0" w:space="0" w:color="auto"/>
                                                <w:right w:val="single" w:sz="6" w:space="8" w:color="63513F"/>
                                              </w:divBdr>
                                            </w:div>
                                            <w:div w:id="1010450728">
                                              <w:marLeft w:val="0"/>
                                              <w:marRight w:val="150"/>
                                              <w:marTop w:val="0"/>
                                              <w:marBottom w:val="0"/>
                                              <w:divBdr>
                                                <w:top w:val="none" w:sz="0" w:space="0" w:color="auto"/>
                                                <w:left w:val="none" w:sz="0" w:space="0" w:color="auto"/>
                                                <w:bottom w:val="none" w:sz="0" w:space="0" w:color="auto"/>
                                                <w:right w:val="single" w:sz="6" w:space="8" w:color="63513F"/>
                                              </w:divBdr>
                                            </w:div>
                                            <w:div w:id="1010450729">
                                              <w:marLeft w:val="0"/>
                                              <w:marRight w:val="150"/>
                                              <w:marTop w:val="0"/>
                                              <w:marBottom w:val="0"/>
                                              <w:divBdr>
                                                <w:top w:val="none" w:sz="0" w:space="0" w:color="auto"/>
                                                <w:left w:val="none" w:sz="0" w:space="0" w:color="auto"/>
                                                <w:bottom w:val="none" w:sz="0" w:space="0" w:color="auto"/>
                                                <w:right w:val="single" w:sz="6" w:space="8" w:color="63513F"/>
                                              </w:divBdr>
                                            </w:div>
                                            <w:div w:id="1010450733">
                                              <w:marLeft w:val="0"/>
                                              <w:marRight w:val="0"/>
                                              <w:marTop w:val="120"/>
                                              <w:marBottom w:val="0"/>
                                              <w:divBdr>
                                                <w:top w:val="none" w:sz="0" w:space="0" w:color="auto"/>
                                                <w:left w:val="none" w:sz="0" w:space="0" w:color="auto"/>
                                                <w:bottom w:val="none" w:sz="0" w:space="0" w:color="auto"/>
                                                <w:right w:val="none" w:sz="0" w:space="0" w:color="auto"/>
                                              </w:divBdr>
                                            </w:div>
                                            <w:div w:id="1010450735">
                                              <w:marLeft w:val="0"/>
                                              <w:marRight w:val="0"/>
                                              <w:marTop w:val="150"/>
                                              <w:marBottom w:val="75"/>
                                              <w:divBdr>
                                                <w:top w:val="none" w:sz="0" w:space="0" w:color="auto"/>
                                                <w:left w:val="none" w:sz="0" w:space="0" w:color="auto"/>
                                                <w:bottom w:val="none" w:sz="0" w:space="0" w:color="auto"/>
                                                <w:right w:val="none" w:sz="0" w:space="0" w:color="auto"/>
                                              </w:divBdr>
                                            </w:div>
                                            <w:div w:id="1010450736">
                                              <w:marLeft w:val="0"/>
                                              <w:marRight w:val="0"/>
                                              <w:marTop w:val="150"/>
                                              <w:marBottom w:val="75"/>
                                              <w:divBdr>
                                                <w:top w:val="none" w:sz="0" w:space="0" w:color="auto"/>
                                                <w:left w:val="none" w:sz="0" w:space="0" w:color="auto"/>
                                                <w:bottom w:val="none" w:sz="0" w:space="0" w:color="auto"/>
                                                <w:right w:val="none" w:sz="0" w:space="0" w:color="auto"/>
                                              </w:divBdr>
                                            </w:div>
                                            <w:div w:id="1010450738">
                                              <w:marLeft w:val="0"/>
                                              <w:marRight w:val="0"/>
                                              <w:marTop w:val="120"/>
                                              <w:marBottom w:val="0"/>
                                              <w:divBdr>
                                                <w:top w:val="none" w:sz="0" w:space="0" w:color="auto"/>
                                                <w:left w:val="none" w:sz="0" w:space="0" w:color="auto"/>
                                                <w:bottom w:val="none" w:sz="0" w:space="0" w:color="auto"/>
                                                <w:right w:val="none" w:sz="0" w:space="0" w:color="auto"/>
                                              </w:divBdr>
                                            </w:div>
                                            <w:div w:id="10104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urbanconference2014.nl" TargetMode="External"/><Relationship Id="rId4" Type="http://schemas.microsoft.com/office/2007/relationships/stylesWithEffects" Target="stylesWithEffects.xml"/><Relationship Id="rId9" Type="http://schemas.openxmlformats.org/officeDocument/2006/relationships/hyperlink" Target="http://www.iurbanconference2014.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5FAE8-9B71-4DE4-AACC-7DBB47A6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23</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4</cp:revision>
  <cp:lastPrinted>2014-04-09T14:47:00Z</cp:lastPrinted>
  <dcterms:created xsi:type="dcterms:W3CDTF">2014-04-09T14:46:00Z</dcterms:created>
  <dcterms:modified xsi:type="dcterms:W3CDTF">2014-04-09T15:08:00Z</dcterms:modified>
</cp:coreProperties>
</file>