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EB" w:rsidRDefault="00BB4911">
      <w:pPr>
        <w:tabs>
          <w:tab w:val="center" w:pos="4536"/>
        </w:tabs>
      </w:pPr>
      <w:r>
        <w:rPr>
          <w:noProof/>
          <w:lang w:val="en-US"/>
        </w:rPr>
        <mc:AlternateContent>
          <mc:Choice Requires="wps">
            <w:drawing>
              <wp:anchor distT="0" distB="0" distL="114300" distR="114300" simplePos="0" relativeHeight="251657216" behindDoc="0" locked="1" layoutInCell="1" allowOverlap="1" wp14:anchorId="2F142E6A" wp14:editId="344572B9">
                <wp:simplePos x="0" y="0"/>
                <wp:positionH relativeFrom="page">
                  <wp:posOffset>1115695</wp:posOffset>
                </wp:positionH>
                <wp:positionV relativeFrom="page">
                  <wp:posOffset>9792335</wp:posOffset>
                </wp:positionV>
                <wp:extent cx="5905500" cy="144145"/>
                <wp:effectExtent l="10795" t="10160" r="8255" b="7620"/>
                <wp:wrapNone/>
                <wp:docPr id="5"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CG+klm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p w:rsidR="00177AEB" w:rsidRDefault="00177AEB">
      <w:pPr>
        <w:pStyle w:val="Title"/>
        <w:rPr>
          <w:rFonts w:ascii="Georgia" w:hAnsi="Georgia"/>
        </w:rPr>
      </w:pPr>
      <w:r>
        <w:rPr>
          <w:rFonts w:ascii="Georgia" w:hAnsi="Georgia"/>
        </w:rPr>
        <w:t>News release</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4645"/>
      </w:tblGrid>
      <w:tr w:rsidR="00177AEB">
        <w:tc>
          <w:tcPr>
            <w:tcW w:w="2268" w:type="dxa"/>
          </w:tcPr>
          <w:p w:rsidR="00177AEB" w:rsidRDefault="00177AEB">
            <w:pPr>
              <w:rPr>
                <w:i/>
              </w:rPr>
            </w:pPr>
            <w:r>
              <w:rPr>
                <w:i/>
              </w:rPr>
              <w:t>Date</w:t>
            </w:r>
          </w:p>
        </w:tc>
        <w:tc>
          <w:tcPr>
            <w:tcW w:w="4645" w:type="dxa"/>
          </w:tcPr>
          <w:p w:rsidR="00177AEB" w:rsidRDefault="00177AEB">
            <w:pPr>
              <w:rPr>
                <w:b/>
              </w:rPr>
            </w:pPr>
            <w:r>
              <w:rPr>
                <w:b/>
              </w:rPr>
              <w:t xml:space="preserve">Embargoed until </w:t>
            </w:r>
            <w:r w:rsidR="00BA6378">
              <w:rPr>
                <w:b/>
              </w:rPr>
              <w:t>26</w:t>
            </w:r>
            <w:r w:rsidR="009001B8">
              <w:rPr>
                <w:b/>
              </w:rPr>
              <w:t xml:space="preserve"> February 2014</w:t>
            </w:r>
          </w:p>
          <w:p w:rsidR="00177AEB" w:rsidRDefault="00177AEB"/>
        </w:tc>
      </w:tr>
      <w:tr w:rsidR="00177AEB" w:rsidRPr="00D555DA">
        <w:tc>
          <w:tcPr>
            <w:tcW w:w="2268" w:type="dxa"/>
          </w:tcPr>
          <w:p w:rsidR="00177AEB" w:rsidRDefault="00177AEB">
            <w:pPr>
              <w:rPr>
                <w:i/>
              </w:rPr>
            </w:pPr>
            <w:r>
              <w:rPr>
                <w:i/>
              </w:rPr>
              <w:t>Contact</w:t>
            </w:r>
          </w:p>
        </w:tc>
        <w:tc>
          <w:tcPr>
            <w:tcW w:w="4645" w:type="dxa"/>
          </w:tcPr>
          <w:p w:rsidR="00177AEB" w:rsidRDefault="00177AEB">
            <w:pPr>
              <w:tabs>
                <w:tab w:val="left" w:pos="1440"/>
              </w:tabs>
              <w:ind w:left="1440" w:hanging="1440"/>
              <w:rPr>
                <w:rFonts w:cs="Arial"/>
                <w:color w:val="000000"/>
                <w:lang w:val="it-IT"/>
              </w:rPr>
            </w:pPr>
            <w:r>
              <w:rPr>
                <w:rFonts w:cs="Arial"/>
                <w:bCs/>
                <w:color w:val="000000"/>
                <w:lang w:val="it-IT"/>
              </w:rPr>
              <w:t>Gill Carson, Media Relations, PwC</w:t>
            </w:r>
          </w:p>
          <w:p w:rsidR="00177AEB" w:rsidRDefault="00177AEB">
            <w:pPr>
              <w:tabs>
                <w:tab w:val="left" w:pos="1440"/>
              </w:tabs>
              <w:ind w:left="1440" w:hanging="1440"/>
              <w:rPr>
                <w:rFonts w:cs="Arial"/>
                <w:color w:val="000000"/>
                <w:lang w:val="it-IT"/>
              </w:rPr>
            </w:pPr>
            <w:r>
              <w:rPr>
                <w:rFonts w:cs="Arial"/>
                <w:color w:val="000000"/>
                <w:lang w:val="it-IT"/>
              </w:rPr>
              <w:t>Tel: 0207 212 1391</w:t>
            </w:r>
          </w:p>
          <w:p w:rsidR="00177AEB" w:rsidRDefault="00177AEB">
            <w:pPr>
              <w:tabs>
                <w:tab w:val="left" w:pos="1440"/>
              </w:tabs>
              <w:ind w:left="1440" w:hanging="1440"/>
              <w:rPr>
                <w:rFonts w:cs="Arial"/>
                <w:color w:val="000000"/>
                <w:lang w:val="it-IT"/>
              </w:rPr>
            </w:pPr>
            <w:r>
              <w:rPr>
                <w:rFonts w:cs="Arial"/>
                <w:color w:val="000000"/>
                <w:lang w:val="it-IT"/>
              </w:rPr>
              <w:t>e-mail: gill.carson@uk.pwc.com</w:t>
            </w:r>
          </w:p>
          <w:p w:rsidR="00177AEB" w:rsidRDefault="00177AEB">
            <w:pPr>
              <w:tabs>
                <w:tab w:val="left" w:pos="1440"/>
              </w:tabs>
              <w:ind w:left="1440" w:hanging="1440"/>
              <w:rPr>
                <w:lang w:val="de-DE"/>
              </w:rPr>
            </w:pPr>
          </w:p>
        </w:tc>
      </w:tr>
      <w:tr w:rsidR="00177AEB">
        <w:tc>
          <w:tcPr>
            <w:tcW w:w="2268" w:type="dxa"/>
          </w:tcPr>
          <w:p w:rsidR="00177AEB" w:rsidRDefault="00177AEB">
            <w:pPr>
              <w:rPr>
                <w:i/>
              </w:rPr>
            </w:pPr>
            <w:r>
              <w:rPr>
                <w:i/>
              </w:rPr>
              <w:t xml:space="preserve">Pages </w:t>
            </w:r>
          </w:p>
        </w:tc>
        <w:tc>
          <w:tcPr>
            <w:tcW w:w="4645" w:type="dxa"/>
          </w:tcPr>
          <w:p w:rsidR="00177AEB" w:rsidRDefault="00177AEB">
            <w:r>
              <w:t>2</w:t>
            </w:r>
          </w:p>
        </w:tc>
      </w:tr>
    </w:tbl>
    <w:p w:rsidR="00177AEB" w:rsidRPr="00FB6A37" w:rsidRDefault="00177AEB" w:rsidP="00FB6A37">
      <w:pPr>
        <w:rPr>
          <w:rFonts w:cs="Arial"/>
          <w:iCs/>
        </w:rPr>
      </w:pPr>
      <w:r>
        <w:rPr>
          <w:rFonts w:cs="Arial"/>
          <w:b/>
          <w:i/>
          <w:iCs/>
        </w:rPr>
        <w:br w:type="textWrapping" w:clear="all"/>
      </w:r>
    </w:p>
    <w:p w:rsidR="00177AEB" w:rsidRPr="00FB6A37" w:rsidRDefault="00FB6A37" w:rsidP="00FB6A37">
      <w:pPr>
        <w:pStyle w:val="Heading"/>
        <w:rPr>
          <w:rFonts w:ascii="Georgia" w:hAnsi="Georgia"/>
          <w:b w:val="0"/>
          <w:sz w:val="20"/>
        </w:rPr>
      </w:pPr>
      <w:r w:rsidRPr="00FB6A37">
        <w:rPr>
          <w:b w:val="0"/>
          <w:noProof/>
          <w:lang w:val="en-US"/>
        </w:rPr>
        <mc:AlternateContent>
          <mc:Choice Requires="wps">
            <w:drawing>
              <wp:anchor distT="0" distB="0" distL="114300" distR="114300" simplePos="0" relativeHeight="251658240" behindDoc="0" locked="0" layoutInCell="1" allowOverlap="1" wp14:anchorId="7E380402" wp14:editId="45FEAF65">
                <wp:simplePos x="0" y="0"/>
                <wp:positionH relativeFrom="page">
                  <wp:posOffset>1194435</wp:posOffset>
                </wp:positionH>
                <wp:positionV relativeFrom="page">
                  <wp:posOffset>3717290</wp:posOffset>
                </wp:positionV>
                <wp:extent cx="5779135" cy="0"/>
                <wp:effectExtent l="0" t="0" r="1206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05pt,292.7pt" to="549.1pt,2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kd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T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" strokecolor="#e36c0a">
                <w10:wrap anchorx="page" anchory="page"/>
              </v:line>
            </w:pict>
          </mc:Fallback>
        </mc:AlternateContent>
      </w:r>
    </w:p>
    <w:p w:rsidR="004A224B" w:rsidRPr="00FB6A37" w:rsidRDefault="004A224B" w:rsidP="00FB6A37">
      <w:pPr>
        <w:pStyle w:val="BodyText"/>
        <w:spacing w:after="0" w:line="240" w:lineRule="auto"/>
        <w:contextualSpacing/>
        <w:jc w:val="center"/>
        <w:rPr>
          <w:b/>
          <w:szCs w:val="20"/>
          <w:lang w:val="en-CA"/>
        </w:rPr>
      </w:pPr>
      <w:r w:rsidRPr="00FB6A37">
        <w:rPr>
          <w:b/>
          <w:szCs w:val="20"/>
          <w:lang w:val="en-CA"/>
        </w:rPr>
        <w:t xml:space="preserve">The comeback kid for 2014: </w:t>
      </w:r>
      <w:r w:rsidR="00FB6A37" w:rsidRPr="00FB6A37">
        <w:rPr>
          <w:b/>
          <w:szCs w:val="20"/>
          <w:lang w:val="en-CA"/>
        </w:rPr>
        <w:br/>
      </w:r>
      <w:r w:rsidRPr="00FB6A37">
        <w:rPr>
          <w:b/>
          <w:szCs w:val="20"/>
          <w:lang w:val="en-CA"/>
        </w:rPr>
        <w:t>Mining’s short-term pain turning to long-term gain</w:t>
      </w:r>
    </w:p>
    <w:p w:rsidR="004A224B" w:rsidRPr="006B36F8" w:rsidRDefault="004A224B" w:rsidP="00F7115B">
      <w:pPr>
        <w:pStyle w:val="BodyText"/>
        <w:spacing w:after="0" w:line="240" w:lineRule="auto"/>
        <w:contextualSpacing/>
        <w:rPr>
          <w:lang w:val="en-CA"/>
        </w:rPr>
      </w:pPr>
    </w:p>
    <w:p w:rsidR="004A224B" w:rsidRPr="00886768" w:rsidRDefault="004A224B" w:rsidP="00F7115B">
      <w:pPr>
        <w:pStyle w:val="BodyText"/>
        <w:spacing w:after="0" w:line="240" w:lineRule="auto"/>
        <w:contextualSpacing/>
        <w:rPr>
          <w:lang w:val="en-CA"/>
        </w:rPr>
      </w:pPr>
      <w:r w:rsidRPr="00FB6A37">
        <w:rPr>
          <w:b/>
          <w:bCs/>
          <w:noProof/>
          <w:lang w:val="en-US"/>
        </w:rPr>
        <mc:AlternateContent>
          <mc:Choice Requires="wps">
            <w:drawing>
              <wp:anchor distT="4294967295" distB="4294967295" distL="114300" distR="114300" simplePos="0" relativeHeight="251660288" behindDoc="0" locked="0" layoutInCell="0" allowOverlap="1" wp14:anchorId="260682ED" wp14:editId="62D9978F">
                <wp:simplePos x="0" y="0"/>
                <wp:positionH relativeFrom="column">
                  <wp:posOffset>723900</wp:posOffset>
                </wp:positionH>
                <wp:positionV relativeFrom="paragraph">
                  <wp:posOffset>33020</wp:posOffset>
                </wp:positionV>
                <wp:extent cx="27432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2.6pt" to="2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" o:allowincell="f" stroked="f"/>
            </w:pict>
          </mc:Fallback>
        </mc:AlternateContent>
      </w:r>
      <w:bookmarkStart w:id="0" w:name="_GoBack"/>
      <w:bookmarkEnd w:id="0"/>
      <w:r w:rsidR="00FB6A37" w:rsidRPr="00FB6A37">
        <w:rPr>
          <w:b/>
          <w:lang w:val="en-CA"/>
        </w:rPr>
        <w:t>London, 26 Feb 2014</w:t>
      </w:r>
      <w:r w:rsidR="00FB6A37">
        <w:rPr>
          <w:lang w:val="en-CA"/>
        </w:rPr>
        <w:noBreakHyphen/>
      </w:r>
      <w:r w:rsidR="00FB6A37">
        <w:rPr>
          <w:lang w:val="en-CA"/>
        </w:rPr>
        <w:noBreakHyphen/>
      </w:r>
      <w:r w:rsidRPr="00886768">
        <w:rPr>
          <w:lang w:val="en-CA"/>
        </w:rPr>
        <w:t>Despite 2013 being one of the worst years for M&amp;A in recent history, mining activity is expected to increase in the coming months with developed economies beginning to stabili</w:t>
      </w:r>
      <w:r w:rsidR="00BA6378">
        <w:rPr>
          <w:lang w:val="en-CA"/>
        </w:rPr>
        <w:t>s</w:t>
      </w:r>
      <w:r w:rsidRPr="00886768">
        <w:rPr>
          <w:lang w:val="en-CA"/>
        </w:rPr>
        <w:t xml:space="preserve">e and miners looking to add assets in a strategic manner, according </w:t>
      </w:r>
      <w:r w:rsidR="00886768">
        <w:rPr>
          <w:lang w:val="en-CA"/>
        </w:rPr>
        <w:t>to PwC’s latest global mining deals report.</w:t>
      </w:r>
    </w:p>
    <w:p w:rsidR="004A224B" w:rsidRPr="00886768" w:rsidRDefault="004A224B" w:rsidP="00F7115B">
      <w:pPr>
        <w:pStyle w:val="BodyText"/>
        <w:spacing w:after="0" w:line="240" w:lineRule="auto"/>
        <w:contextualSpacing/>
        <w:rPr>
          <w:lang w:val="en-CA"/>
        </w:rPr>
      </w:pPr>
    </w:p>
    <w:p w:rsidR="00886768" w:rsidRDefault="004A224B" w:rsidP="00F7115B">
      <w:pPr>
        <w:pStyle w:val="BodyText"/>
        <w:spacing w:after="0" w:line="240" w:lineRule="auto"/>
        <w:contextualSpacing/>
        <w:rPr>
          <w:lang w:val="en-CA"/>
        </w:rPr>
      </w:pPr>
      <w:r w:rsidRPr="00886768">
        <w:rPr>
          <w:lang w:val="en-CA"/>
        </w:rPr>
        <w:t>With volume of deals in 2013 falling to its lowest level since 2005, miners will continue to move away from diversification and focus on core assets and commodities</w:t>
      </w:r>
      <w:r w:rsidRPr="00886768">
        <w:rPr>
          <w:b/>
          <w:lang w:val="en-CA"/>
        </w:rPr>
        <w:t>.</w:t>
      </w:r>
    </w:p>
    <w:p w:rsidR="00886768" w:rsidRDefault="00886768" w:rsidP="00F7115B">
      <w:pPr>
        <w:pStyle w:val="BodyText"/>
        <w:spacing w:after="0" w:line="240" w:lineRule="auto"/>
        <w:contextualSpacing/>
        <w:rPr>
          <w:lang w:val="en-CA"/>
        </w:rPr>
      </w:pPr>
    </w:p>
    <w:p w:rsidR="00886768" w:rsidRDefault="00886768" w:rsidP="00F7115B">
      <w:pPr>
        <w:pStyle w:val="BodyText"/>
        <w:spacing w:after="0" w:line="240" w:lineRule="auto"/>
        <w:contextualSpacing/>
        <w:rPr>
          <w:lang w:val="en-CA"/>
        </w:rPr>
      </w:pPr>
      <w:r>
        <w:rPr>
          <w:lang w:val="en-CA"/>
        </w:rPr>
        <w:t xml:space="preserve">John Gravelle, global mining leader, PwC, said: </w:t>
      </w:r>
    </w:p>
    <w:p w:rsidR="00886768" w:rsidRDefault="00886768" w:rsidP="00F7115B">
      <w:pPr>
        <w:pStyle w:val="BodyText"/>
        <w:spacing w:after="0" w:line="240" w:lineRule="auto"/>
        <w:contextualSpacing/>
        <w:rPr>
          <w:lang w:val="en-CA"/>
        </w:rPr>
      </w:pPr>
    </w:p>
    <w:p w:rsidR="004A224B" w:rsidRPr="00886768" w:rsidRDefault="004A224B" w:rsidP="00F7115B">
      <w:pPr>
        <w:pStyle w:val="BodyText"/>
        <w:spacing w:after="0" w:line="240" w:lineRule="auto"/>
        <w:contextualSpacing/>
        <w:rPr>
          <w:lang w:val="en-CA"/>
        </w:rPr>
      </w:pPr>
      <w:r w:rsidRPr="00886768">
        <w:rPr>
          <w:lang w:val="en-CA"/>
        </w:rPr>
        <w:t xml:space="preserve">“Many companies looking to buy are eyeing similar commodities in familiar regions where they are already operating. </w:t>
      </w:r>
    </w:p>
    <w:p w:rsidR="004A224B" w:rsidRPr="00886768" w:rsidRDefault="004A224B" w:rsidP="00F7115B">
      <w:pPr>
        <w:pStyle w:val="BodyText"/>
        <w:spacing w:after="0" w:line="240" w:lineRule="auto"/>
        <w:contextualSpacing/>
        <w:rPr>
          <w:lang w:val="en-CA"/>
        </w:rPr>
      </w:pPr>
    </w:p>
    <w:p w:rsidR="004A224B" w:rsidRPr="00886768" w:rsidRDefault="004A224B" w:rsidP="00F7115B">
      <w:pPr>
        <w:pStyle w:val="BodyText"/>
        <w:spacing w:after="0" w:line="240" w:lineRule="auto"/>
        <w:contextualSpacing/>
        <w:rPr>
          <w:lang w:val="en-CA"/>
        </w:rPr>
      </w:pPr>
      <w:r w:rsidRPr="00886768">
        <w:rPr>
          <w:lang w:val="en-CA"/>
        </w:rPr>
        <w:t>“</w:t>
      </w:r>
      <w:r w:rsidR="00DF744E">
        <w:rPr>
          <w:lang w:val="en-CA"/>
        </w:rPr>
        <w:t>While o</w:t>
      </w:r>
      <w:r w:rsidRPr="00886768">
        <w:rPr>
          <w:lang w:val="en-CA"/>
        </w:rPr>
        <w:t>verall, the mining sector has experienced short-term pain for what could be longer-term gain. To once again create shareholder value and extend mine life, miners will need to continue to acquire assets.”</w:t>
      </w:r>
    </w:p>
    <w:p w:rsidR="004A224B" w:rsidRPr="00FB6A37" w:rsidRDefault="004A224B" w:rsidP="00F7115B">
      <w:pPr>
        <w:pStyle w:val="BodyText"/>
        <w:spacing w:after="0" w:line="240" w:lineRule="auto"/>
        <w:contextualSpacing/>
        <w:rPr>
          <w:b/>
          <w:lang w:val="en-CA"/>
        </w:rPr>
      </w:pPr>
    </w:p>
    <w:p w:rsidR="004A224B" w:rsidRPr="00886768" w:rsidRDefault="004A224B" w:rsidP="00F7115B">
      <w:pPr>
        <w:pStyle w:val="BodyText"/>
        <w:spacing w:after="0" w:line="240" w:lineRule="auto"/>
        <w:contextualSpacing/>
        <w:rPr>
          <w:b/>
          <w:i/>
          <w:lang w:val="en-CA"/>
        </w:rPr>
      </w:pPr>
      <w:r w:rsidRPr="00886768">
        <w:rPr>
          <w:b/>
          <w:i/>
          <w:lang w:val="en-CA"/>
        </w:rPr>
        <w:t xml:space="preserve">2014 mining expectations </w:t>
      </w:r>
    </w:p>
    <w:p w:rsidR="004A224B" w:rsidRPr="00886768" w:rsidRDefault="004A224B" w:rsidP="00F7115B">
      <w:pPr>
        <w:pStyle w:val="BodyText"/>
        <w:spacing w:after="0" w:line="240" w:lineRule="auto"/>
        <w:contextualSpacing/>
        <w:rPr>
          <w:lang w:val="en-CA"/>
        </w:rPr>
      </w:pPr>
      <w:r w:rsidRPr="00886768">
        <w:rPr>
          <w:lang w:val="en-CA"/>
        </w:rPr>
        <w:t xml:space="preserve">The top five deals last year show the changing nature of M&amp;A in the current environment. According to the </w:t>
      </w:r>
      <w:r w:rsidR="00886768">
        <w:rPr>
          <w:lang w:val="en-CA"/>
        </w:rPr>
        <w:t>report</w:t>
      </w:r>
      <w:r w:rsidRPr="00886768">
        <w:rPr>
          <w:i/>
          <w:lang w:val="en-CA"/>
        </w:rPr>
        <w:t xml:space="preserve">, </w:t>
      </w:r>
      <w:r w:rsidRPr="00886768">
        <w:rPr>
          <w:lang w:val="en-CA"/>
        </w:rPr>
        <w:t>instead of outright takeovers, companies are buying and selling smaller portions, which is what lead to the drop in overall deal value in 2013. Deal trends to look for in 2014 include:</w:t>
      </w:r>
    </w:p>
    <w:p w:rsidR="004A224B" w:rsidRPr="00886768" w:rsidRDefault="004A224B" w:rsidP="00F7115B">
      <w:pPr>
        <w:pStyle w:val="BodyText"/>
        <w:spacing w:after="0" w:line="240" w:lineRule="auto"/>
        <w:contextualSpacing/>
        <w:rPr>
          <w:lang w:val="en-CA"/>
        </w:rPr>
      </w:pPr>
    </w:p>
    <w:p w:rsidR="004A224B" w:rsidRPr="00886768" w:rsidRDefault="004A224B" w:rsidP="00F7115B">
      <w:pPr>
        <w:pStyle w:val="BodyText"/>
        <w:numPr>
          <w:ilvl w:val="0"/>
          <w:numId w:val="8"/>
        </w:numPr>
        <w:spacing w:after="0" w:line="240" w:lineRule="auto"/>
        <w:ind w:left="360"/>
        <w:contextualSpacing/>
        <w:rPr>
          <w:lang w:val="en-CA"/>
        </w:rPr>
      </w:pPr>
      <w:r w:rsidRPr="00886768">
        <w:rPr>
          <w:b/>
          <w:lang w:val="en-CA"/>
        </w:rPr>
        <w:t xml:space="preserve">Thinking in twos – </w:t>
      </w:r>
      <w:r w:rsidRPr="00886768">
        <w:rPr>
          <w:lang w:val="en-CA"/>
        </w:rPr>
        <w:t>Many mining executives are completing joint ventures in strategic assets, as opposed to assuming all the deal risk associated with a full-on acquisition</w:t>
      </w:r>
      <w:r w:rsidRPr="00886768">
        <w:rPr>
          <w:b/>
          <w:lang w:val="en-CA"/>
        </w:rPr>
        <w:t xml:space="preserve">. </w:t>
      </w:r>
      <w:r w:rsidRPr="00886768">
        <w:rPr>
          <w:lang w:val="en-CA"/>
        </w:rPr>
        <w:t xml:space="preserve">A current example of this is BHP announcing its interest in finding a partner for its Jansen Potash Project. </w:t>
      </w:r>
    </w:p>
    <w:p w:rsidR="00FB6A37" w:rsidRDefault="004A224B" w:rsidP="00F7115B">
      <w:pPr>
        <w:pStyle w:val="BodyText"/>
        <w:numPr>
          <w:ilvl w:val="0"/>
          <w:numId w:val="8"/>
        </w:numPr>
        <w:spacing w:after="0" w:line="240" w:lineRule="auto"/>
        <w:ind w:left="360"/>
        <w:contextualSpacing/>
        <w:rPr>
          <w:lang w:val="en-CA"/>
        </w:rPr>
      </w:pPr>
      <w:r w:rsidRPr="00886768">
        <w:rPr>
          <w:b/>
          <w:lang w:val="en-CA"/>
        </w:rPr>
        <w:t>Mid-tiers step up –</w:t>
      </w:r>
      <w:r w:rsidRPr="00886768">
        <w:rPr>
          <w:lang w:val="en-CA"/>
        </w:rPr>
        <w:t xml:space="preserve">While many mining majors will remain sellers of assets, more mid-tier companies will be active buyers in 2014. A few mid-tiers have indicated they are ready to make acquisitions, while others have announced their intention to consider strategic options. </w:t>
      </w:r>
    </w:p>
    <w:p w:rsidR="004A224B" w:rsidRDefault="004A224B" w:rsidP="00F7115B">
      <w:pPr>
        <w:pStyle w:val="BodyText"/>
        <w:numPr>
          <w:ilvl w:val="0"/>
          <w:numId w:val="8"/>
        </w:numPr>
        <w:spacing w:after="0" w:line="240" w:lineRule="auto"/>
        <w:ind w:left="360"/>
        <w:contextualSpacing/>
        <w:rPr>
          <w:lang w:val="en-CA"/>
        </w:rPr>
      </w:pPr>
      <w:r w:rsidRPr="00886768">
        <w:rPr>
          <w:b/>
          <w:lang w:val="en-CA"/>
        </w:rPr>
        <w:t xml:space="preserve">Decision time for juniors – </w:t>
      </w:r>
      <w:r w:rsidRPr="00886768">
        <w:rPr>
          <w:lang w:val="en-CA"/>
        </w:rPr>
        <w:t>Junior mining companies are expected to become more active with M&amp;A this year. Many will need to sell or merge with a</w:t>
      </w:r>
      <w:r w:rsidR="00FB6A37">
        <w:rPr>
          <w:lang w:val="en-CA"/>
        </w:rPr>
        <w:t xml:space="preserve">nother company to stay afloat. </w:t>
      </w:r>
      <w:r w:rsidRPr="00886768">
        <w:rPr>
          <w:lang w:val="en-CA"/>
        </w:rPr>
        <w:t xml:space="preserve">There’s also an increase in earn-in-type arrangements in the junior sector, which is positive from an exploration angle and should help increase their valuations moving forward. </w:t>
      </w:r>
    </w:p>
    <w:p w:rsidR="00F7115B" w:rsidRDefault="00F7115B">
      <w:pPr>
        <w:spacing w:line="240" w:lineRule="auto"/>
        <w:rPr>
          <w:lang w:val="en-CA"/>
        </w:rPr>
      </w:pPr>
      <w:r>
        <w:rPr>
          <w:lang w:val="en-CA"/>
        </w:rPr>
        <w:br w:type="page"/>
      </w:r>
    </w:p>
    <w:p w:rsidR="00FB6A37" w:rsidRPr="00886768" w:rsidRDefault="00FB6A37" w:rsidP="00F7115B">
      <w:pPr>
        <w:pStyle w:val="BodyText"/>
        <w:spacing w:after="0" w:line="240" w:lineRule="auto"/>
        <w:ind w:left="360"/>
        <w:contextualSpacing/>
        <w:rPr>
          <w:lang w:val="en-CA"/>
        </w:rPr>
      </w:pPr>
    </w:p>
    <w:p w:rsidR="004A224B" w:rsidRPr="00886768" w:rsidRDefault="004A224B" w:rsidP="00F7115B">
      <w:pPr>
        <w:pStyle w:val="BodyText"/>
        <w:numPr>
          <w:ilvl w:val="0"/>
          <w:numId w:val="8"/>
        </w:numPr>
        <w:spacing w:after="0" w:line="240" w:lineRule="auto"/>
        <w:ind w:left="360"/>
        <w:contextualSpacing/>
        <w:rPr>
          <w:lang w:val="en-CA"/>
        </w:rPr>
      </w:pPr>
      <w:r w:rsidRPr="00886768">
        <w:rPr>
          <w:b/>
          <w:lang w:val="en-CA"/>
        </w:rPr>
        <w:t xml:space="preserve">Gold still on radar – </w:t>
      </w:r>
      <w:r w:rsidRPr="00886768">
        <w:rPr>
          <w:lang w:val="en-CA"/>
        </w:rPr>
        <w:t>While gold M&amp;A was down (412 deals in 2013, down from 548 in 2012), buyers are seeing an opportunity to buy more gold assets after the price fell by nearly 30% over the past year to about $1,250/ounce. The report noted that gold M&amp;A will increase in the coming months, but mostly with smaller, strategic deals in fiscally stable, gold-rich countries like Canada.</w:t>
      </w:r>
    </w:p>
    <w:p w:rsidR="004A224B" w:rsidRPr="00886768" w:rsidRDefault="004A224B" w:rsidP="00F7115B">
      <w:pPr>
        <w:pStyle w:val="BodyText"/>
        <w:spacing w:after="0" w:line="240" w:lineRule="auto"/>
        <w:contextualSpacing/>
        <w:rPr>
          <w:lang w:val="en-CA"/>
        </w:rPr>
      </w:pPr>
    </w:p>
    <w:p w:rsidR="004A224B" w:rsidRPr="00886768" w:rsidRDefault="004A224B" w:rsidP="00F7115B">
      <w:pPr>
        <w:pStyle w:val="BodyText"/>
        <w:spacing w:after="0" w:line="240" w:lineRule="auto"/>
        <w:contextualSpacing/>
        <w:rPr>
          <w:b/>
          <w:i/>
          <w:lang w:val="en-CA"/>
        </w:rPr>
      </w:pPr>
      <w:r w:rsidRPr="00886768">
        <w:rPr>
          <w:b/>
          <w:i/>
          <w:lang w:val="en-CA"/>
        </w:rPr>
        <w:t xml:space="preserve">East vs. west </w:t>
      </w:r>
    </w:p>
    <w:p w:rsidR="004A224B" w:rsidRPr="00886768" w:rsidRDefault="004A224B" w:rsidP="00F7115B">
      <w:pPr>
        <w:pStyle w:val="BodyText"/>
        <w:spacing w:after="0" w:line="240" w:lineRule="auto"/>
        <w:contextualSpacing/>
        <w:rPr>
          <w:lang w:val="en-CA"/>
        </w:rPr>
      </w:pPr>
      <w:r w:rsidRPr="00886768">
        <w:rPr>
          <w:lang w:val="en-CA"/>
        </w:rPr>
        <w:t xml:space="preserve">There was a geographic shift among buyers in the mining sector in 2013 – the eastern world dominated deal activity over the west. While the west was more active in number of deals done, the value of those deals was highest in the eastern part of the world. </w:t>
      </w:r>
    </w:p>
    <w:p w:rsidR="004A224B" w:rsidRPr="00886768" w:rsidRDefault="004A224B" w:rsidP="00F7115B">
      <w:pPr>
        <w:pStyle w:val="BodyText"/>
        <w:spacing w:after="0" w:line="240" w:lineRule="auto"/>
        <w:contextualSpacing/>
        <w:rPr>
          <w:lang w:val="en-CA"/>
        </w:rPr>
      </w:pPr>
    </w:p>
    <w:p w:rsidR="00BA6378" w:rsidRDefault="004A224B" w:rsidP="00F7115B">
      <w:pPr>
        <w:pStyle w:val="BodyText"/>
        <w:spacing w:after="0" w:line="240" w:lineRule="auto"/>
        <w:contextualSpacing/>
        <w:rPr>
          <w:lang w:val="en-CA"/>
        </w:rPr>
      </w:pPr>
      <w:r w:rsidRPr="00886768">
        <w:rPr>
          <w:lang w:val="en-CA"/>
        </w:rPr>
        <w:t xml:space="preserve">The east accounted for nearly half of the deals by value in 2013, or about 45%, while the west represented about 36%. </w:t>
      </w:r>
    </w:p>
    <w:p w:rsidR="00BA6378" w:rsidRDefault="00BA6378" w:rsidP="00F7115B">
      <w:pPr>
        <w:pStyle w:val="BodyText"/>
        <w:spacing w:after="0" w:line="240" w:lineRule="auto"/>
        <w:contextualSpacing/>
        <w:rPr>
          <w:lang w:val="en-CA"/>
        </w:rPr>
      </w:pPr>
    </w:p>
    <w:p w:rsidR="00BA6378" w:rsidRDefault="00BA6378" w:rsidP="00F7115B">
      <w:pPr>
        <w:pStyle w:val="BodyText"/>
        <w:spacing w:after="0" w:line="240" w:lineRule="auto"/>
        <w:contextualSpacing/>
        <w:rPr>
          <w:lang w:val="en-CA"/>
        </w:rPr>
      </w:pPr>
      <w:r>
        <w:rPr>
          <w:lang w:val="en-CA"/>
        </w:rPr>
        <w:t xml:space="preserve">John Gravelle, global mining leader, PwC, said: </w:t>
      </w:r>
    </w:p>
    <w:p w:rsidR="00BA6378" w:rsidRDefault="00BA6378" w:rsidP="00F7115B">
      <w:pPr>
        <w:pStyle w:val="BodyText"/>
        <w:spacing w:after="0" w:line="240" w:lineRule="auto"/>
        <w:contextualSpacing/>
        <w:rPr>
          <w:lang w:val="en-CA"/>
        </w:rPr>
      </w:pPr>
    </w:p>
    <w:p w:rsidR="004A224B" w:rsidRPr="00886768" w:rsidRDefault="004A224B" w:rsidP="00F7115B">
      <w:pPr>
        <w:pStyle w:val="BodyText"/>
        <w:spacing w:after="0" w:line="240" w:lineRule="auto"/>
        <w:contextualSpacing/>
        <w:rPr>
          <w:lang w:val="en-CA"/>
        </w:rPr>
      </w:pPr>
      <w:r w:rsidRPr="00886768">
        <w:rPr>
          <w:lang w:val="en-CA"/>
        </w:rPr>
        <w:t>“Many of the leading deals in 2013 were between governments and/or wealthy private investors, which added to the changing landsca</w:t>
      </w:r>
      <w:r w:rsidR="00DF744E">
        <w:rPr>
          <w:lang w:val="en-CA"/>
        </w:rPr>
        <w:t>pe compared to previous years.</w:t>
      </w:r>
    </w:p>
    <w:p w:rsidR="004A224B" w:rsidRPr="00FB6A37" w:rsidRDefault="004A224B" w:rsidP="00F7115B">
      <w:pPr>
        <w:pStyle w:val="BodyText"/>
        <w:spacing w:after="0" w:line="240" w:lineRule="auto"/>
        <w:contextualSpacing/>
        <w:rPr>
          <w:b/>
          <w:lang w:val="en-CA"/>
        </w:rPr>
      </w:pPr>
    </w:p>
    <w:p w:rsidR="004A224B" w:rsidRPr="00886768" w:rsidRDefault="004A224B" w:rsidP="00F7115B">
      <w:pPr>
        <w:pStyle w:val="BodyText"/>
        <w:spacing w:after="0" w:line="240" w:lineRule="auto"/>
        <w:contextualSpacing/>
        <w:rPr>
          <w:lang w:val="en-CA"/>
        </w:rPr>
      </w:pPr>
      <w:r w:rsidRPr="00886768">
        <w:rPr>
          <w:lang w:val="en-CA"/>
        </w:rPr>
        <w:t xml:space="preserve">“Looking ahead, many western-based majors are still going to wait </w:t>
      </w:r>
      <w:r w:rsidR="00BA6378">
        <w:rPr>
          <w:lang w:val="en-CA"/>
        </w:rPr>
        <w:t>for commodity prices to stabilis</w:t>
      </w:r>
      <w:r w:rsidRPr="00886768">
        <w:rPr>
          <w:lang w:val="en-CA"/>
        </w:rPr>
        <w:t>e, concent</w:t>
      </w:r>
      <w:r w:rsidR="00BA6378">
        <w:rPr>
          <w:lang w:val="en-CA"/>
        </w:rPr>
        <w:t>rating on cash costs, rationalis</w:t>
      </w:r>
      <w:r w:rsidRPr="00886768">
        <w:rPr>
          <w:lang w:val="en-CA"/>
        </w:rPr>
        <w:t>ing their assets and trying to divest assets as a way to pay down debt and fund exist</w:t>
      </w:r>
      <w:r w:rsidR="00BA6378">
        <w:rPr>
          <w:lang w:val="en-CA"/>
        </w:rPr>
        <w:t>ing operations.”</w:t>
      </w:r>
    </w:p>
    <w:p w:rsidR="004A224B" w:rsidRPr="00F7115B" w:rsidRDefault="004A224B" w:rsidP="00F7115B">
      <w:pPr>
        <w:pStyle w:val="BodyText"/>
        <w:spacing w:after="0" w:line="240" w:lineRule="auto"/>
        <w:contextualSpacing/>
        <w:rPr>
          <w:lang w:val="en-CA"/>
        </w:rPr>
      </w:pPr>
    </w:p>
    <w:p w:rsidR="004A224B" w:rsidRPr="00886768" w:rsidRDefault="004A224B" w:rsidP="00F7115B">
      <w:pPr>
        <w:pStyle w:val="BodyText"/>
        <w:spacing w:after="0" w:line="240" w:lineRule="auto"/>
        <w:contextualSpacing/>
        <w:rPr>
          <w:b/>
          <w:i/>
          <w:lang w:val="en-CA"/>
        </w:rPr>
      </w:pPr>
      <w:r w:rsidRPr="00886768">
        <w:rPr>
          <w:b/>
          <w:i/>
          <w:lang w:val="en-CA"/>
        </w:rPr>
        <w:t>Down but not out</w:t>
      </w:r>
    </w:p>
    <w:p w:rsidR="004A224B" w:rsidRDefault="004A224B" w:rsidP="00F7115B">
      <w:pPr>
        <w:pStyle w:val="BodyText"/>
        <w:spacing w:after="0" w:line="240" w:lineRule="auto"/>
        <w:contextualSpacing/>
        <w:rPr>
          <w:lang w:val="en-CA"/>
        </w:rPr>
      </w:pPr>
      <w:r w:rsidRPr="00886768">
        <w:rPr>
          <w:lang w:val="en-CA"/>
        </w:rPr>
        <w:t xml:space="preserve">According to the report, deal activity is already off to a relatively strong start in 2014 with Goldcorp’s hostile bid for Osisko and HudBay’s bid for Augusta Resources. </w:t>
      </w:r>
    </w:p>
    <w:p w:rsidR="00BA6378" w:rsidRDefault="00BA6378" w:rsidP="00F7115B">
      <w:pPr>
        <w:pStyle w:val="BodyText"/>
        <w:spacing w:after="0" w:line="240" w:lineRule="auto"/>
        <w:contextualSpacing/>
        <w:rPr>
          <w:lang w:val="en-CA"/>
        </w:rPr>
      </w:pPr>
    </w:p>
    <w:p w:rsidR="00BA6378" w:rsidRPr="00886768" w:rsidRDefault="00BA6378" w:rsidP="00F7115B">
      <w:pPr>
        <w:pStyle w:val="BodyText"/>
        <w:spacing w:after="0" w:line="240" w:lineRule="auto"/>
        <w:contextualSpacing/>
        <w:rPr>
          <w:lang w:val="en-CA"/>
        </w:rPr>
      </w:pPr>
      <w:r>
        <w:rPr>
          <w:lang w:val="en-CA"/>
        </w:rPr>
        <w:t xml:space="preserve">John Gravelle, global mining leader, PwC, said: </w:t>
      </w:r>
    </w:p>
    <w:p w:rsidR="004A224B" w:rsidRPr="00886768" w:rsidRDefault="004A224B" w:rsidP="00F7115B">
      <w:pPr>
        <w:pStyle w:val="BodyText"/>
        <w:spacing w:after="0" w:line="240" w:lineRule="auto"/>
        <w:contextualSpacing/>
        <w:rPr>
          <w:lang w:val="en-CA"/>
        </w:rPr>
      </w:pPr>
    </w:p>
    <w:p w:rsidR="004A224B" w:rsidRPr="00886768" w:rsidRDefault="004A224B" w:rsidP="00F7115B">
      <w:pPr>
        <w:pStyle w:val="BodyText"/>
        <w:spacing w:after="0" w:line="240" w:lineRule="auto"/>
        <w:contextualSpacing/>
        <w:rPr>
          <w:lang w:val="en-CA"/>
        </w:rPr>
      </w:pPr>
      <w:r w:rsidRPr="00886768">
        <w:rPr>
          <w:lang w:val="en-CA"/>
        </w:rPr>
        <w:t>“The turnaround won’t mirror the surge in movement we saw back in 2011, but expect deal making to resurface in most parts of the world this year as both an opportunity</w:t>
      </w:r>
      <w:r w:rsidR="00DF744E">
        <w:rPr>
          <w:lang w:val="en-CA"/>
        </w:rPr>
        <w:t>,</w:t>
      </w:r>
      <w:r w:rsidRPr="00886768">
        <w:rPr>
          <w:lang w:val="en-CA"/>
        </w:rPr>
        <w:t xml:space="preserve"> and in some cases a necessity</w:t>
      </w:r>
      <w:r w:rsidR="00DF744E">
        <w:rPr>
          <w:lang w:val="en-CA"/>
        </w:rPr>
        <w:t>,</w:t>
      </w:r>
      <w:r w:rsidRPr="00886768">
        <w:rPr>
          <w:lang w:val="en-CA"/>
        </w:rPr>
        <w:t xml:space="preserve"> for companies </w:t>
      </w:r>
      <w:r w:rsidR="00BA6378">
        <w:rPr>
          <w:lang w:val="en-CA"/>
        </w:rPr>
        <w:t xml:space="preserve">across the sector. </w:t>
      </w:r>
      <w:r w:rsidRPr="00886768">
        <w:rPr>
          <w:lang w:val="en-CA"/>
        </w:rPr>
        <w:t xml:space="preserve">Companies have been cleaning up their balance sheets and putting off decisions, waiting for the right time to act – that timing is near.” </w:t>
      </w:r>
    </w:p>
    <w:p w:rsidR="004A224B" w:rsidRPr="00886768" w:rsidRDefault="004A224B" w:rsidP="00F7115B">
      <w:pPr>
        <w:pStyle w:val="BodyText"/>
        <w:spacing w:after="0" w:line="240" w:lineRule="auto"/>
        <w:contextualSpacing/>
        <w:rPr>
          <w:lang w:val="en-CA"/>
        </w:rPr>
      </w:pPr>
    </w:p>
    <w:p w:rsidR="00BA6378" w:rsidRPr="00F73D06" w:rsidRDefault="00BA6378" w:rsidP="00F7115B">
      <w:pPr>
        <w:spacing w:line="240" w:lineRule="auto"/>
        <w:contextualSpacing/>
        <w:rPr>
          <w:szCs w:val="20"/>
        </w:rPr>
      </w:pPr>
    </w:p>
    <w:p w:rsidR="005D5DCA" w:rsidRPr="00F7115B" w:rsidRDefault="005D5DCA" w:rsidP="00F7115B">
      <w:pPr>
        <w:spacing w:line="240" w:lineRule="auto"/>
        <w:rPr>
          <w:rFonts w:cs="Arial"/>
          <w:b/>
          <w:color w:val="000000"/>
          <w:szCs w:val="18"/>
          <w:lang w:val="en-US"/>
        </w:rPr>
      </w:pPr>
      <w:r w:rsidRPr="00F7115B">
        <w:rPr>
          <w:rFonts w:cs="Arial"/>
          <w:b/>
          <w:color w:val="000000"/>
          <w:szCs w:val="18"/>
          <w:lang w:val="en-US"/>
        </w:rPr>
        <w:t>About PwC</w:t>
      </w:r>
    </w:p>
    <w:p w:rsidR="005D5DCA" w:rsidRPr="00F7115B" w:rsidRDefault="005D5DCA" w:rsidP="00F7115B">
      <w:pPr>
        <w:spacing w:line="240" w:lineRule="auto"/>
        <w:rPr>
          <w:rFonts w:cs="Arial"/>
          <w:color w:val="000000"/>
          <w:szCs w:val="18"/>
          <w:lang w:val="en-US"/>
        </w:rPr>
      </w:pPr>
      <w:r w:rsidRPr="00F7115B">
        <w:rPr>
          <w:rFonts w:cs="Arial"/>
          <w:color w:val="000000"/>
          <w:szCs w:val="18"/>
          <w:lang w:val="en-US"/>
        </w:rPr>
        <w:t xml:space="preserve">PwC helps organisations and individuals create the value they’re looking for. We’re a network of firms in 157 countries with over 184,000 people who are committed to delivering quality in assurance, tax and advisory services. Tell us what matters to you and find out more by visiting us at </w:t>
      </w:r>
      <w:hyperlink r:id="rId9" w:history="1">
        <w:r w:rsidRPr="00F7115B">
          <w:rPr>
            <w:rStyle w:val="Hyperlink"/>
            <w:rFonts w:cs="Arial"/>
            <w:szCs w:val="18"/>
            <w:lang w:val="en-US"/>
          </w:rPr>
          <w:t>www.pwc.com</w:t>
        </w:r>
      </w:hyperlink>
      <w:r w:rsidRPr="00F7115B">
        <w:rPr>
          <w:rFonts w:cs="Arial"/>
          <w:color w:val="000000"/>
          <w:szCs w:val="18"/>
          <w:lang w:val="en-US"/>
        </w:rPr>
        <w:t>.</w:t>
      </w:r>
    </w:p>
    <w:p w:rsidR="005D5DCA" w:rsidRPr="00F7115B" w:rsidRDefault="005D5DCA" w:rsidP="00F7115B">
      <w:pPr>
        <w:spacing w:line="240" w:lineRule="auto"/>
        <w:rPr>
          <w:rFonts w:cs="Arial"/>
          <w:color w:val="000000"/>
          <w:szCs w:val="18"/>
          <w:lang w:val="en-US"/>
        </w:rPr>
      </w:pPr>
    </w:p>
    <w:p w:rsidR="005D5DCA" w:rsidRPr="00F7115B" w:rsidRDefault="005D5DCA" w:rsidP="00F7115B">
      <w:pPr>
        <w:spacing w:line="240" w:lineRule="auto"/>
        <w:rPr>
          <w:szCs w:val="18"/>
        </w:rPr>
      </w:pPr>
      <w:r w:rsidRPr="00F7115B">
        <w:rPr>
          <w:szCs w:val="18"/>
        </w:rPr>
        <w:t>©2014 PwC. All rights reserved</w:t>
      </w:r>
    </w:p>
    <w:p w:rsidR="005D5DCA" w:rsidRPr="00F7115B" w:rsidRDefault="005D5DCA" w:rsidP="00F7115B">
      <w:pPr>
        <w:spacing w:line="240" w:lineRule="auto"/>
        <w:rPr>
          <w:szCs w:val="18"/>
        </w:rPr>
      </w:pPr>
    </w:p>
    <w:p w:rsidR="00177AEB" w:rsidRPr="00F7115B" w:rsidRDefault="005D5DCA" w:rsidP="00F7115B">
      <w:pPr>
        <w:spacing w:line="240" w:lineRule="auto"/>
        <w:rPr>
          <w:szCs w:val="18"/>
        </w:rPr>
      </w:pPr>
      <w:r w:rsidRPr="00F7115B">
        <w:rPr>
          <w:szCs w:val="18"/>
        </w:rPr>
        <w:t>PwC refers to the PwC network and/or one or more of its member firms, each of which is a separate legal entity. Please see www.pwc.com/structure for further details.</w:t>
      </w:r>
    </w:p>
    <w:p w:rsidR="00F7115B" w:rsidRPr="00F7115B" w:rsidRDefault="00F7115B">
      <w:pPr>
        <w:spacing w:line="240" w:lineRule="auto"/>
        <w:rPr>
          <w:szCs w:val="18"/>
        </w:rPr>
      </w:pPr>
    </w:p>
    <w:sectPr w:rsidR="00F7115B" w:rsidRPr="00F7115B">
      <w:headerReference w:type="even" r:id="rId10"/>
      <w:headerReference w:type="default" r:id="rId11"/>
      <w:footerReference w:type="even" r:id="rId12"/>
      <w:headerReference w:type="first" r:id="rId13"/>
      <w:foot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D4" w:rsidRDefault="009F53D4">
      <w:pPr>
        <w:spacing w:line="240" w:lineRule="auto"/>
      </w:pPr>
      <w:r>
        <w:separator/>
      </w:r>
    </w:p>
  </w:endnote>
  <w:endnote w:type="continuationSeparator" w:id="0">
    <w:p w:rsidR="009F53D4" w:rsidRDefault="009F53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177AEB">
    <w:pPr>
      <w:pStyle w:val="Footer"/>
    </w:pPr>
    <w:r>
      <w:fldChar w:fldCharType="begin"/>
    </w:r>
    <w:r>
      <w:instrText xml:space="preserve"> PAGE  \* MERGEFORMAT </w:instrText>
    </w:r>
    <w:r>
      <w:fldChar w:fldCharType="separate"/>
    </w:r>
    <w:r w:rsidR="00F7115B">
      <w:rPr>
        <w:noProof/>
      </w:rPr>
      <w:t>2</w:t>
    </w:r>
    <w:r>
      <w:fldChar w:fldCharType="end"/>
    </w:r>
    <w:r>
      <w:t xml:space="preserve"> of </w:t>
    </w:r>
    <w:r w:rsidR="00541A82">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177AEB">
    <w:pPr>
      <w:pStyle w:val="Address"/>
      <w:ind w:left="720"/>
    </w:pPr>
  </w:p>
  <w:p w:rsidR="00177AEB" w:rsidRDefault="00177AEB">
    <w:pPr>
      <w:pStyle w:val="Address"/>
    </w:pPr>
  </w:p>
  <w:p w:rsidR="00177AEB" w:rsidRDefault="00177AEB">
    <w:pPr>
      <w:pStyle w:val="Address"/>
    </w:pPr>
    <w:r>
      <w:t>PricewaterhouseCoopers LLP, 1 Embankment Place. London, WC2N 6RH</w:t>
    </w:r>
  </w:p>
  <w:p w:rsidR="00177AEB" w:rsidRPr="00D555DA" w:rsidRDefault="00177AEB">
    <w:pPr>
      <w:pStyle w:val="Address"/>
      <w:rPr>
        <w:lang w:val="de-DE"/>
      </w:rPr>
    </w:pPr>
    <w:r w:rsidRPr="00D555DA">
      <w:rPr>
        <w:lang w:val="de-DE"/>
      </w:rPr>
      <w:t>T: +44 (0)20 7 583 5000, F: +44 (0)20 7 822 4652, www.pwc.co.uk</w:t>
    </w:r>
  </w:p>
  <w:p w:rsidR="00177AEB" w:rsidRPr="00D555DA" w:rsidRDefault="00177AEB">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D4" w:rsidRDefault="009F53D4">
      <w:pPr>
        <w:spacing w:line="240" w:lineRule="auto"/>
      </w:pPr>
      <w:r>
        <w:separator/>
      </w:r>
    </w:p>
  </w:footnote>
  <w:footnote w:type="continuationSeparator" w:id="0">
    <w:p w:rsidR="009F53D4" w:rsidRDefault="009F53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BB4911">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AEB" w:rsidRDefault="00177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177AEB">
    <w:pPr>
      <w:pStyle w:val="Header"/>
    </w:pPr>
  </w:p>
  <w:p w:rsidR="00177AEB" w:rsidRDefault="00177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EB" w:rsidRDefault="00BB4911">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6F5"/>
    <w:multiLevelType w:val="hybridMultilevel"/>
    <w:tmpl w:val="2CF8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7BF6"/>
    <w:multiLevelType w:val="hybridMultilevel"/>
    <w:tmpl w:val="C0702028"/>
    <w:lvl w:ilvl="0" w:tplc="1C8C8372">
      <w:start w:val="1"/>
      <w:numFmt w:val="bullet"/>
      <w:lvlText w:val=""/>
      <w:lvlJc w:val="left"/>
      <w:pPr>
        <w:tabs>
          <w:tab w:val="num" w:pos="720"/>
        </w:tabs>
        <w:ind w:left="720" w:hanging="36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0E5455"/>
    <w:multiLevelType w:val="hybridMultilevel"/>
    <w:tmpl w:val="322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C73FE9"/>
    <w:multiLevelType w:val="hybridMultilevel"/>
    <w:tmpl w:val="158CDC68"/>
    <w:lvl w:ilvl="0" w:tplc="7DA0EC0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8B502A"/>
    <w:multiLevelType w:val="hybridMultilevel"/>
    <w:tmpl w:val="1DBA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6248B"/>
    <w:multiLevelType w:val="hybridMultilevel"/>
    <w:tmpl w:val="232A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B0B72"/>
    <w:multiLevelType w:val="hybridMultilevel"/>
    <w:tmpl w:val="724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870E6"/>
    <w:multiLevelType w:val="hybridMultilevel"/>
    <w:tmpl w:val="00C4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9F"/>
    <w:rsid w:val="0002001B"/>
    <w:rsid w:val="0002689F"/>
    <w:rsid w:val="0004396A"/>
    <w:rsid w:val="00062B5F"/>
    <w:rsid w:val="00082336"/>
    <w:rsid w:val="000B0CC1"/>
    <w:rsid w:val="000B1410"/>
    <w:rsid w:val="000D3638"/>
    <w:rsid w:val="001178F0"/>
    <w:rsid w:val="00132CEE"/>
    <w:rsid w:val="0013364D"/>
    <w:rsid w:val="001347BB"/>
    <w:rsid w:val="0014681A"/>
    <w:rsid w:val="00151542"/>
    <w:rsid w:val="00153C34"/>
    <w:rsid w:val="00177AEB"/>
    <w:rsid w:val="00180A6D"/>
    <w:rsid w:val="001C3DBC"/>
    <w:rsid w:val="001D0787"/>
    <w:rsid w:val="001D49A6"/>
    <w:rsid w:val="001E44BC"/>
    <w:rsid w:val="00217519"/>
    <w:rsid w:val="002644E6"/>
    <w:rsid w:val="002919F2"/>
    <w:rsid w:val="002A3304"/>
    <w:rsid w:val="002A4D83"/>
    <w:rsid w:val="002A562E"/>
    <w:rsid w:val="002E4828"/>
    <w:rsid w:val="003058F0"/>
    <w:rsid w:val="003141CB"/>
    <w:rsid w:val="003325A6"/>
    <w:rsid w:val="00350FFE"/>
    <w:rsid w:val="00376CD8"/>
    <w:rsid w:val="0038623D"/>
    <w:rsid w:val="003F2A4A"/>
    <w:rsid w:val="00463E2D"/>
    <w:rsid w:val="00464E6B"/>
    <w:rsid w:val="004675CF"/>
    <w:rsid w:val="004712B2"/>
    <w:rsid w:val="0048326C"/>
    <w:rsid w:val="00492076"/>
    <w:rsid w:val="004A1C6E"/>
    <w:rsid w:val="004A224B"/>
    <w:rsid w:val="004F0DFE"/>
    <w:rsid w:val="004F1BB7"/>
    <w:rsid w:val="005026B4"/>
    <w:rsid w:val="005137CB"/>
    <w:rsid w:val="00516229"/>
    <w:rsid w:val="00524091"/>
    <w:rsid w:val="00525079"/>
    <w:rsid w:val="00541A82"/>
    <w:rsid w:val="00560425"/>
    <w:rsid w:val="00575624"/>
    <w:rsid w:val="005776BE"/>
    <w:rsid w:val="005972AD"/>
    <w:rsid w:val="005B121C"/>
    <w:rsid w:val="005D5DCA"/>
    <w:rsid w:val="005E0407"/>
    <w:rsid w:val="005F06DA"/>
    <w:rsid w:val="005F38FE"/>
    <w:rsid w:val="00605D1E"/>
    <w:rsid w:val="006110CA"/>
    <w:rsid w:val="00614919"/>
    <w:rsid w:val="006267C4"/>
    <w:rsid w:val="0063064D"/>
    <w:rsid w:val="0066401E"/>
    <w:rsid w:val="00664235"/>
    <w:rsid w:val="006A723A"/>
    <w:rsid w:val="006C613E"/>
    <w:rsid w:val="006F0622"/>
    <w:rsid w:val="006F348B"/>
    <w:rsid w:val="00713276"/>
    <w:rsid w:val="00721DE3"/>
    <w:rsid w:val="00733E58"/>
    <w:rsid w:val="00737CE4"/>
    <w:rsid w:val="0074485F"/>
    <w:rsid w:val="007451BD"/>
    <w:rsid w:val="00766B24"/>
    <w:rsid w:val="007D087F"/>
    <w:rsid w:val="007E70AC"/>
    <w:rsid w:val="007E7BDE"/>
    <w:rsid w:val="007F3286"/>
    <w:rsid w:val="008021A1"/>
    <w:rsid w:val="00806C1B"/>
    <w:rsid w:val="00813EFE"/>
    <w:rsid w:val="00817F27"/>
    <w:rsid w:val="00831C13"/>
    <w:rsid w:val="0083561F"/>
    <w:rsid w:val="00850563"/>
    <w:rsid w:val="008757D5"/>
    <w:rsid w:val="00886768"/>
    <w:rsid w:val="008904B8"/>
    <w:rsid w:val="008A5545"/>
    <w:rsid w:val="008B36C2"/>
    <w:rsid w:val="008C284A"/>
    <w:rsid w:val="008E03B9"/>
    <w:rsid w:val="008F2D55"/>
    <w:rsid w:val="009001B8"/>
    <w:rsid w:val="00915A7B"/>
    <w:rsid w:val="009C2E43"/>
    <w:rsid w:val="009E402D"/>
    <w:rsid w:val="009E6ABE"/>
    <w:rsid w:val="009F111F"/>
    <w:rsid w:val="009F53D4"/>
    <w:rsid w:val="00A20B7C"/>
    <w:rsid w:val="00A2350D"/>
    <w:rsid w:val="00A81CB2"/>
    <w:rsid w:val="00A94782"/>
    <w:rsid w:val="00B03835"/>
    <w:rsid w:val="00B20772"/>
    <w:rsid w:val="00B2616A"/>
    <w:rsid w:val="00BA6378"/>
    <w:rsid w:val="00BB4911"/>
    <w:rsid w:val="00BB666A"/>
    <w:rsid w:val="00BE61DE"/>
    <w:rsid w:val="00C03A31"/>
    <w:rsid w:val="00C15ABA"/>
    <w:rsid w:val="00C20AA5"/>
    <w:rsid w:val="00C21C23"/>
    <w:rsid w:val="00C41290"/>
    <w:rsid w:val="00C71C60"/>
    <w:rsid w:val="00C7589B"/>
    <w:rsid w:val="00C90131"/>
    <w:rsid w:val="00C959C4"/>
    <w:rsid w:val="00C97153"/>
    <w:rsid w:val="00CA3318"/>
    <w:rsid w:val="00CA4002"/>
    <w:rsid w:val="00CF26D6"/>
    <w:rsid w:val="00D428CF"/>
    <w:rsid w:val="00D526D1"/>
    <w:rsid w:val="00D53555"/>
    <w:rsid w:val="00D54B53"/>
    <w:rsid w:val="00D555DA"/>
    <w:rsid w:val="00D56893"/>
    <w:rsid w:val="00D67902"/>
    <w:rsid w:val="00D716F0"/>
    <w:rsid w:val="00D80DC1"/>
    <w:rsid w:val="00D84DBD"/>
    <w:rsid w:val="00D96DC6"/>
    <w:rsid w:val="00D97E40"/>
    <w:rsid w:val="00DB0D0E"/>
    <w:rsid w:val="00DB6D22"/>
    <w:rsid w:val="00DD7BAC"/>
    <w:rsid w:val="00DF4D64"/>
    <w:rsid w:val="00DF744E"/>
    <w:rsid w:val="00DF7455"/>
    <w:rsid w:val="00E5710F"/>
    <w:rsid w:val="00E72ED9"/>
    <w:rsid w:val="00E73066"/>
    <w:rsid w:val="00E823BD"/>
    <w:rsid w:val="00E97169"/>
    <w:rsid w:val="00ED21F8"/>
    <w:rsid w:val="00EE36B2"/>
    <w:rsid w:val="00EE54CE"/>
    <w:rsid w:val="00F2343A"/>
    <w:rsid w:val="00F4576E"/>
    <w:rsid w:val="00F572F3"/>
    <w:rsid w:val="00F7115B"/>
    <w:rsid w:val="00F73D06"/>
    <w:rsid w:val="00FA34AA"/>
    <w:rsid w:val="00FA4678"/>
    <w:rsid w:val="00FB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35"/>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pPr>
      <w:tabs>
        <w:tab w:val="center" w:pos="4513"/>
        <w:tab w:val="right" w:pos="9026"/>
      </w:tabs>
      <w:spacing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513"/>
        <w:tab w:val="right" w:pos="9026"/>
      </w:tabs>
      <w:spacing w:line="240" w:lineRule="auto"/>
    </w:p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99"/>
    <w:semiHidden/>
    <w:pPr>
      <w:spacing w:after="240"/>
    </w:pPr>
  </w:style>
  <w:style w:type="character" w:customStyle="1" w:styleId="BodyTextChar">
    <w:name w:val="Body Text Char"/>
    <w:link w:val="BodyText"/>
    <w:uiPriority w:val="99"/>
    <w:semiHidden/>
    <w:locked/>
    <w:rPr>
      <w:rFonts w:ascii="Georgia" w:hAnsi="Georgia" w:cs="Times New Roman"/>
      <w:sz w:val="20"/>
    </w:rPr>
  </w:style>
  <w:style w:type="paragraph" w:styleId="Title">
    <w:name w:val="Title"/>
    <w:basedOn w:val="Normal"/>
    <w:next w:val="Normal"/>
    <w:link w:val="TitleChar"/>
    <w:uiPriority w:val="99"/>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link w:val="Title"/>
    <w:uiPriority w:val="99"/>
    <w:locked/>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pPr>
      <w:spacing w:line="200" w:lineRule="atLeast"/>
    </w:pPr>
    <w:rPr>
      <w:i/>
      <w:sz w:val="18"/>
    </w:rPr>
  </w:style>
  <w:style w:type="character" w:customStyle="1" w:styleId="AddressChar">
    <w:name w:val="Address Char"/>
    <w:link w:val="Address"/>
    <w:uiPriority w:val="99"/>
    <w:locked/>
    <w:rPr>
      <w:rFonts w:ascii="Georgia" w:hAnsi="Georgia" w:cs="Times New Roman"/>
      <w:i/>
      <w:sz w:val="18"/>
    </w:rPr>
  </w:style>
  <w:style w:type="paragraph" w:customStyle="1" w:styleId="Disclaimer">
    <w:name w:val="Disclaimer"/>
    <w:basedOn w:val="Normal"/>
    <w:link w:val="DisclaimerChar"/>
    <w:uiPriority w:val="99"/>
    <w:pPr>
      <w:spacing w:line="140" w:lineRule="atLeast"/>
    </w:pPr>
    <w:rPr>
      <w:rFonts w:ascii="Arial" w:hAnsi="Arial" w:cs="Arial"/>
      <w:sz w:val="12"/>
    </w:rPr>
  </w:style>
  <w:style w:type="character" w:customStyle="1" w:styleId="DisclaimerChar">
    <w:name w:val="Disclaimer Char"/>
    <w:link w:val="Disclaimer"/>
    <w:uiPriority w:val="99"/>
    <w:locked/>
    <w:rPr>
      <w:rFonts w:ascii="Arial" w:hAnsi="Arial" w:cs="Arial"/>
      <w:sz w:val="12"/>
    </w:rPr>
  </w:style>
  <w:style w:type="paragraph" w:customStyle="1" w:styleId="ReleaseBodyText">
    <w:name w:val="Release Body Text"/>
    <w:uiPriority w:val="99"/>
    <w:rPr>
      <w:rFonts w:ascii="Arial" w:eastAsia="Times New Roman" w:hAnsi="Arial" w:cs="Arial"/>
      <w:lang w:eastAsia="en-US"/>
    </w:rPr>
  </w:style>
  <w:style w:type="paragraph" w:customStyle="1" w:styleId="Heading">
    <w:name w:val="Heading"/>
    <w:basedOn w:val="Normal"/>
    <w:uiPriority w:val="99"/>
    <w:pPr>
      <w:spacing w:line="240" w:lineRule="auto"/>
    </w:pPr>
    <w:rPr>
      <w:rFonts w:ascii="Arial" w:eastAsia="Times New Roman" w:hAnsi="Arial"/>
      <w:b/>
      <w:sz w:val="24"/>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link w:val="CommentText"/>
    <w:uiPriority w:val="99"/>
    <w:semiHidden/>
    <w:locked/>
    <w:rPr>
      <w:rFonts w:ascii="Georgia" w:hAnsi="Georgia"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Georgia" w:hAnsi="Georgia" w:cs="Times New Roman"/>
      <w:b/>
      <w:bCs/>
      <w:lang w:eastAsia="en-U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eastAsia="en-US"/>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sid w:val="004A22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35"/>
    <w:pPr>
      <w:spacing w:line="240" w:lineRule="atLeast"/>
    </w:pPr>
    <w:rPr>
      <w:rFonts w:ascii="Georgia" w:hAnsi="Georgia"/>
      <w:szCs w:val="22"/>
      <w:lang w:eastAsia="en-US"/>
    </w:rPr>
  </w:style>
  <w:style w:type="paragraph" w:styleId="Heading1">
    <w:name w:val="heading 1"/>
    <w:basedOn w:val="Normal"/>
    <w:next w:val="Normal"/>
    <w:link w:val="Heading1Char"/>
    <w:uiPriority w:val="99"/>
    <w:qFormat/>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styleId="Header">
    <w:name w:val="header"/>
    <w:basedOn w:val="Normal"/>
    <w:link w:val="HeaderChar"/>
    <w:uiPriority w:val="99"/>
    <w:semiHidden/>
    <w:pPr>
      <w:tabs>
        <w:tab w:val="center" w:pos="4513"/>
        <w:tab w:val="right" w:pos="9026"/>
      </w:tabs>
      <w:spacing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513"/>
        <w:tab w:val="right" w:pos="9026"/>
      </w:tabs>
      <w:spacing w:line="240" w:lineRule="auto"/>
    </w:p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99"/>
    <w:semiHidden/>
    <w:pPr>
      <w:spacing w:after="240"/>
    </w:pPr>
  </w:style>
  <w:style w:type="character" w:customStyle="1" w:styleId="BodyTextChar">
    <w:name w:val="Body Text Char"/>
    <w:link w:val="BodyText"/>
    <w:uiPriority w:val="99"/>
    <w:semiHidden/>
    <w:locked/>
    <w:rPr>
      <w:rFonts w:ascii="Georgia" w:hAnsi="Georgia" w:cs="Times New Roman"/>
      <w:sz w:val="20"/>
    </w:rPr>
  </w:style>
  <w:style w:type="paragraph" w:styleId="Title">
    <w:name w:val="Title"/>
    <w:basedOn w:val="Normal"/>
    <w:next w:val="Normal"/>
    <w:link w:val="TitleChar"/>
    <w:uiPriority w:val="99"/>
    <w:qFormat/>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link w:val="Title"/>
    <w:uiPriority w:val="99"/>
    <w:locked/>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pPr>
      <w:spacing w:line="200" w:lineRule="atLeast"/>
    </w:pPr>
    <w:rPr>
      <w:i/>
      <w:sz w:val="18"/>
    </w:rPr>
  </w:style>
  <w:style w:type="character" w:customStyle="1" w:styleId="AddressChar">
    <w:name w:val="Address Char"/>
    <w:link w:val="Address"/>
    <w:uiPriority w:val="99"/>
    <w:locked/>
    <w:rPr>
      <w:rFonts w:ascii="Georgia" w:hAnsi="Georgia" w:cs="Times New Roman"/>
      <w:i/>
      <w:sz w:val="18"/>
    </w:rPr>
  </w:style>
  <w:style w:type="paragraph" w:customStyle="1" w:styleId="Disclaimer">
    <w:name w:val="Disclaimer"/>
    <w:basedOn w:val="Normal"/>
    <w:link w:val="DisclaimerChar"/>
    <w:uiPriority w:val="99"/>
    <w:pPr>
      <w:spacing w:line="140" w:lineRule="atLeast"/>
    </w:pPr>
    <w:rPr>
      <w:rFonts w:ascii="Arial" w:hAnsi="Arial" w:cs="Arial"/>
      <w:sz w:val="12"/>
    </w:rPr>
  </w:style>
  <w:style w:type="character" w:customStyle="1" w:styleId="DisclaimerChar">
    <w:name w:val="Disclaimer Char"/>
    <w:link w:val="Disclaimer"/>
    <w:uiPriority w:val="99"/>
    <w:locked/>
    <w:rPr>
      <w:rFonts w:ascii="Arial" w:hAnsi="Arial" w:cs="Arial"/>
      <w:sz w:val="12"/>
    </w:rPr>
  </w:style>
  <w:style w:type="paragraph" w:customStyle="1" w:styleId="ReleaseBodyText">
    <w:name w:val="Release Body Text"/>
    <w:uiPriority w:val="99"/>
    <w:rPr>
      <w:rFonts w:ascii="Arial" w:eastAsia="Times New Roman" w:hAnsi="Arial" w:cs="Arial"/>
      <w:lang w:eastAsia="en-US"/>
    </w:rPr>
  </w:style>
  <w:style w:type="paragraph" w:customStyle="1" w:styleId="Heading">
    <w:name w:val="Heading"/>
    <w:basedOn w:val="Normal"/>
    <w:uiPriority w:val="99"/>
    <w:pPr>
      <w:spacing w:line="240" w:lineRule="auto"/>
    </w:pPr>
    <w:rPr>
      <w:rFonts w:ascii="Arial" w:eastAsia="Times New Roman" w:hAnsi="Arial"/>
      <w:b/>
      <w:sz w:val="24"/>
      <w:szCs w:val="20"/>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link w:val="CommentText"/>
    <w:uiPriority w:val="99"/>
    <w:semiHidden/>
    <w:locked/>
    <w:rPr>
      <w:rFonts w:ascii="Georgia" w:hAnsi="Georgia" w:cs="Times New Roman"/>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Georgia" w:hAnsi="Georgia" w:cs="Times New Roman"/>
      <w:b/>
      <w:bCs/>
      <w:lang w:eastAsia="en-U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eastAsia="en-US"/>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sid w:val="004A22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0045">
      <w:bodyDiv w:val="1"/>
      <w:marLeft w:val="0"/>
      <w:marRight w:val="0"/>
      <w:marTop w:val="0"/>
      <w:marBottom w:val="0"/>
      <w:divBdr>
        <w:top w:val="none" w:sz="0" w:space="0" w:color="auto"/>
        <w:left w:val="none" w:sz="0" w:space="0" w:color="auto"/>
        <w:bottom w:val="none" w:sz="0" w:space="0" w:color="auto"/>
        <w:right w:val="none" w:sz="0" w:space="0" w:color="auto"/>
      </w:divBdr>
    </w:div>
    <w:div w:id="649293003">
      <w:bodyDiv w:val="1"/>
      <w:marLeft w:val="0"/>
      <w:marRight w:val="0"/>
      <w:marTop w:val="0"/>
      <w:marBottom w:val="0"/>
      <w:divBdr>
        <w:top w:val="none" w:sz="0" w:space="0" w:color="auto"/>
        <w:left w:val="none" w:sz="0" w:space="0" w:color="auto"/>
        <w:bottom w:val="none" w:sz="0" w:space="0" w:color="auto"/>
        <w:right w:val="none" w:sz="0" w:space="0" w:color="auto"/>
      </w:divBdr>
    </w:div>
    <w:div w:id="1001813485">
      <w:bodyDiv w:val="1"/>
      <w:marLeft w:val="0"/>
      <w:marRight w:val="0"/>
      <w:marTop w:val="0"/>
      <w:marBottom w:val="0"/>
      <w:divBdr>
        <w:top w:val="none" w:sz="0" w:space="0" w:color="auto"/>
        <w:left w:val="none" w:sz="0" w:space="0" w:color="auto"/>
        <w:bottom w:val="none" w:sz="0" w:space="0" w:color="auto"/>
        <w:right w:val="none" w:sz="0" w:space="0" w:color="auto"/>
      </w:divBdr>
      <w:divsChild>
        <w:div w:id="535460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063">
      <w:bodyDiv w:val="1"/>
      <w:marLeft w:val="0"/>
      <w:marRight w:val="0"/>
      <w:marTop w:val="0"/>
      <w:marBottom w:val="0"/>
      <w:divBdr>
        <w:top w:val="none" w:sz="0" w:space="0" w:color="auto"/>
        <w:left w:val="none" w:sz="0" w:space="0" w:color="auto"/>
        <w:bottom w:val="none" w:sz="0" w:space="0" w:color="auto"/>
        <w:right w:val="none" w:sz="0" w:space="0" w:color="auto"/>
      </w:divBdr>
      <w:divsChild>
        <w:div w:id="78597305">
          <w:marLeft w:val="0"/>
          <w:marRight w:val="0"/>
          <w:marTop w:val="0"/>
          <w:marBottom w:val="0"/>
          <w:divBdr>
            <w:top w:val="none" w:sz="0" w:space="0" w:color="auto"/>
            <w:left w:val="none" w:sz="0" w:space="0" w:color="auto"/>
            <w:bottom w:val="none" w:sz="0" w:space="0" w:color="auto"/>
            <w:right w:val="none" w:sz="0" w:space="0" w:color="auto"/>
          </w:divBdr>
          <w:divsChild>
            <w:div w:id="160445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8593">
          <w:marLeft w:val="0"/>
          <w:marRight w:val="0"/>
          <w:marTop w:val="0"/>
          <w:marBottom w:val="0"/>
          <w:divBdr>
            <w:top w:val="none" w:sz="0" w:space="0" w:color="auto"/>
            <w:left w:val="none" w:sz="0" w:space="0" w:color="auto"/>
            <w:bottom w:val="none" w:sz="0" w:space="0" w:color="auto"/>
            <w:right w:val="none" w:sz="0" w:space="0" w:color="auto"/>
          </w:divBdr>
        </w:div>
      </w:divsChild>
    </w:div>
    <w:div w:id="1107043349">
      <w:bodyDiv w:val="1"/>
      <w:marLeft w:val="0"/>
      <w:marRight w:val="0"/>
      <w:marTop w:val="0"/>
      <w:marBottom w:val="0"/>
      <w:divBdr>
        <w:top w:val="none" w:sz="0" w:space="0" w:color="auto"/>
        <w:left w:val="none" w:sz="0" w:space="0" w:color="auto"/>
        <w:bottom w:val="none" w:sz="0" w:space="0" w:color="auto"/>
        <w:right w:val="none" w:sz="0" w:space="0" w:color="auto"/>
      </w:divBdr>
    </w:div>
    <w:div w:id="1739403723">
      <w:bodyDiv w:val="1"/>
      <w:marLeft w:val="0"/>
      <w:marRight w:val="0"/>
      <w:marTop w:val="0"/>
      <w:marBottom w:val="0"/>
      <w:divBdr>
        <w:top w:val="none" w:sz="0" w:space="0" w:color="auto"/>
        <w:left w:val="none" w:sz="0" w:space="0" w:color="auto"/>
        <w:bottom w:val="none" w:sz="0" w:space="0" w:color="auto"/>
        <w:right w:val="none" w:sz="0" w:space="0" w:color="auto"/>
      </w:divBdr>
      <w:divsChild>
        <w:div w:id="1502694735">
          <w:marLeft w:val="0"/>
          <w:marRight w:val="0"/>
          <w:marTop w:val="0"/>
          <w:marBottom w:val="0"/>
          <w:divBdr>
            <w:top w:val="none" w:sz="0" w:space="0" w:color="auto"/>
            <w:left w:val="none" w:sz="0" w:space="0" w:color="auto"/>
            <w:bottom w:val="none" w:sz="0" w:space="0" w:color="auto"/>
            <w:right w:val="none" w:sz="0" w:space="0" w:color="auto"/>
          </w:divBdr>
        </w:div>
      </w:divsChild>
    </w:div>
    <w:div w:id="20149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A378-7C30-4BAA-BED7-201EC805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18</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4</cp:revision>
  <cp:lastPrinted>2014-02-21T09:57:00Z</cp:lastPrinted>
  <dcterms:created xsi:type="dcterms:W3CDTF">2014-02-25T17:50:00Z</dcterms:created>
  <dcterms:modified xsi:type="dcterms:W3CDTF">2014-02-25T18:08:00Z</dcterms:modified>
</cp:coreProperties>
</file>