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16" w:rsidRDefault="0020371F" w:rsidP="00A73A7B">
      <w:r>
        <w:rPr>
          <w:noProof/>
          <w:lang w:val="en-US"/>
        </w:rPr>
        <mc:AlternateContent>
          <mc:Choice Requires="wps">
            <w:drawing>
              <wp:anchor distT="0" distB="0" distL="114300" distR="114300" simplePos="0" relativeHeight="251657728" behindDoc="0" locked="1" layoutInCell="1" allowOverlap="1" wp14:anchorId="3F6D0DC1" wp14:editId="55B589BE">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616" w:rsidRDefault="005E6081" w:rsidP="00A73A7B">
      <w:pPr>
        <w:pStyle w:val="Title"/>
        <w:spacing w:after="0"/>
        <w:rPr>
          <w:rFonts w:ascii="Georgia" w:hAnsi="Georgia"/>
        </w:rPr>
      </w:pPr>
      <w:r>
        <w:rPr>
          <w:rFonts w:ascii="Georgia" w:hAnsi="Georgia"/>
        </w:rPr>
        <w:t>News release</w:t>
      </w:r>
    </w:p>
    <w:p w:rsidR="00297616" w:rsidRDefault="00297616" w:rsidP="00A73A7B"/>
    <w:tbl>
      <w:tblPr>
        <w:tblW w:w="0" w:type="auto"/>
        <w:tblLayout w:type="fixed"/>
        <w:tblLook w:val="0000" w:firstRow="0" w:lastRow="0" w:firstColumn="0" w:lastColumn="0" w:noHBand="0" w:noVBand="0"/>
      </w:tblPr>
      <w:tblGrid>
        <w:gridCol w:w="2268"/>
        <w:gridCol w:w="4645"/>
      </w:tblGrid>
      <w:tr w:rsidR="00297616">
        <w:tc>
          <w:tcPr>
            <w:tcW w:w="2268" w:type="dxa"/>
            <w:shd w:val="clear" w:color="auto" w:fill="auto"/>
          </w:tcPr>
          <w:p w:rsidR="00297616" w:rsidRDefault="00864309" w:rsidP="00A73A7B">
            <w:pPr>
              <w:spacing w:line="240" w:lineRule="auto"/>
              <w:rPr>
                <w:i/>
              </w:rPr>
            </w:pPr>
            <w:r>
              <w:rPr>
                <w:i/>
              </w:rPr>
              <w:t>Date</w:t>
            </w:r>
          </w:p>
        </w:tc>
        <w:tc>
          <w:tcPr>
            <w:tcW w:w="4645" w:type="dxa"/>
            <w:shd w:val="clear" w:color="auto" w:fill="auto"/>
          </w:tcPr>
          <w:p w:rsidR="00297616" w:rsidRDefault="008475D0" w:rsidP="00A73A7B">
            <w:pPr>
              <w:spacing w:line="240" w:lineRule="auto"/>
              <w:rPr>
                <w:color w:val="000000" w:themeColor="text1"/>
              </w:rPr>
            </w:pPr>
            <w:r>
              <w:rPr>
                <w:color w:val="000000" w:themeColor="text1"/>
              </w:rPr>
              <w:t xml:space="preserve">Embargoed until </w:t>
            </w:r>
            <w:r w:rsidR="003B093D">
              <w:rPr>
                <w:color w:val="000000" w:themeColor="text1"/>
              </w:rPr>
              <w:t>00.01 hrs</w:t>
            </w:r>
            <w:r>
              <w:rPr>
                <w:color w:val="000000" w:themeColor="text1"/>
              </w:rPr>
              <w:t xml:space="preserve"> GMT,</w:t>
            </w:r>
            <w:r w:rsidR="008D4731">
              <w:rPr>
                <w:color w:val="000000" w:themeColor="text1"/>
              </w:rPr>
              <w:t xml:space="preserve"> </w:t>
            </w:r>
            <w:r w:rsidR="00726FF1">
              <w:rPr>
                <w:color w:val="000000" w:themeColor="text1"/>
              </w:rPr>
              <w:t>Friday 31</w:t>
            </w:r>
            <w:r w:rsidR="00726FF1" w:rsidRPr="00726FF1">
              <w:rPr>
                <w:color w:val="000000" w:themeColor="text1"/>
                <w:vertAlign w:val="superscript"/>
              </w:rPr>
              <w:t>st</w:t>
            </w:r>
            <w:r w:rsidR="00D43CFB">
              <w:rPr>
                <w:color w:val="000000" w:themeColor="text1"/>
              </w:rPr>
              <w:t xml:space="preserve"> </w:t>
            </w:r>
            <w:r w:rsidR="00927963">
              <w:rPr>
                <w:color w:val="000000" w:themeColor="text1"/>
              </w:rPr>
              <w:t>January</w:t>
            </w:r>
            <w:r w:rsidR="003B093D">
              <w:rPr>
                <w:color w:val="000000" w:themeColor="text1"/>
              </w:rPr>
              <w:t xml:space="preserve"> 2014</w:t>
            </w:r>
          </w:p>
        </w:tc>
      </w:tr>
      <w:tr w:rsidR="00297616" w:rsidRPr="00780F9A">
        <w:tc>
          <w:tcPr>
            <w:tcW w:w="2268" w:type="dxa"/>
            <w:shd w:val="clear" w:color="auto" w:fill="auto"/>
          </w:tcPr>
          <w:p w:rsidR="00297616" w:rsidRDefault="00864309" w:rsidP="00A73A7B">
            <w:pPr>
              <w:spacing w:line="240" w:lineRule="auto"/>
              <w:rPr>
                <w:i/>
              </w:rPr>
            </w:pPr>
            <w:r>
              <w:rPr>
                <w:i/>
              </w:rPr>
              <w:t>Contact</w:t>
            </w:r>
          </w:p>
        </w:tc>
        <w:tc>
          <w:tcPr>
            <w:tcW w:w="4645" w:type="dxa"/>
            <w:shd w:val="clear" w:color="auto" w:fill="auto"/>
          </w:tcPr>
          <w:p w:rsidR="00297616" w:rsidRDefault="00DF13B6" w:rsidP="00A73A7B">
            <w:pPr>
              <w:spacing w:line="240" w:lineRule="auto"/>
              <w:rPr>
                <w:lang w:val="it-IT"/>
              </w:rPr>
            </w:pPr>
            <w:r>
              <w:rPr>
                <w:lang w:val="it-IT"/>
              </w:rPr>
              <w:t>Hilary Downes</w:t>
            </w:r>
            <w:r w:rsidR="00864309">
              <w:rPr>
                <w:lang w:val="it-IT"/>
              </w:rPr>
              <w:t xml:space="preserve">, </w:t>
            </w:r>
            <w:r w:rsidR="005204F6">
              <w:rPr>
                <w:lang w:val="it-IT"/>
              </w:rPr>
              <w:t xml:space="preserve">media relations, </w:t>
            </w:r>
            <w:r w:rsidR="00864309">
              <w:rPr>
                <w:lang w:val="it-IT"/>
              </w:rPr>
              <w:t>PwC</w:t>
            </w:r>
          </w:p>
          <w:p w:rsidR="00297616" w:rsidRDefault="00D00C86" w:rsidP="00A73A7B">
            <w:pPr>
              <w:tabs>
                <w:tab w:val="left" w:pos="1440"/>
              </w:tabs>
              <w:ind w:left="1440" w:hanging="1440"/>
              <w:rPr>
                <w:rFonts w:cs="Arial"/>
                <w:lang w:val="it-IT"/>
              </w:rPr>
            </w:pPr>
            <w:r>
              <w:rPr>
                <w:rFonts w:cs="Arial"/>
                <w:lang w:val="it-IT"/>
              </w:rPr>
              <w:t xml:space="preserve">Tel: +44 207 </w:t>
            </w:r>
            <w:r w:rsidR="00DF13B6">
              <w:rPr>
                <w:rFonts w:cs="Arial"/>
                <w:lang w:val="it-IT"/>
              </w:rPr>
              <w:t>213 4706</w:t>
            </w:r>
            <w:r>
              <w:rPr>
                <w:rFonts w:cs="Arial"/>
                <w:lang w:val="it-IT"/>
              </w:rPr>
              <w:t xml:space="preserve">  /  </w:t>
            </w:r>
            <w:r w:rsidR="00DF13B6">
              <w:rPr>
                <w:rFonts w:cs="Arial"/>
                <w:lang w:val="it-IT"/>
              </w:rPr>
              <w:t>07718 340 113</w:t>
            </w:r>
          </w:p>
          <w:p w:rsidR="00297616" w:rsidRDefault="00864309" w:rsidP="00A73A7B">
            <w:pPr>
              <w:spacing w:line="240" w:lineRule="auto"/>
              <w:rPr>
                <w:lang w:val="it-IT"/>
              </w:rPr>
            </w:pPr>
            <w:r>
              <w:rPr>
                <w:rFonts w:cs="Arial"/>
                <w:lang w:val="it-IT"/>
              </w:rPr>
              <w:t xml:space="preserve">e-mail: </w:t>
            </w:r>
            <w:hyperlink r:id="rId9" w:history="1">
              <w:r w:rsidR="00DF13B6" w:rsidRPr="008F7D46">
                <w:rPr>
                  <w:rStyle w:val="Hyperlink"/>
                  <w:rFonts w:cs="Arial"/>
                  <w:lang w:val="it-IT"/>
                </w:rPr>
                <w:t>hilary.n.downes@uk.pwc.com</w:t>
              </w:r>
            </w:hyperlink>
            <w:r>
              <w:rPr>
                <w:rFonts w:cs="Arial"/>
                <w:lang w:val="it-IT"/>
              </w:rPr>
              <w:t xml:space="preserve"> </w:t>
            </w:r>
          </w:p>
        </w:tc>
      </w:tr>
      <w:tr w:rsidR="00297616">
        <w:tc>
          <w:tcPr>
            <w:tcW w:w="2268" w:type="dxa"/>
            <w:shd w:val="clear" w:color="auto" w:fill="auto"/>
          </w:tcPr>
          <w:p w:rsidR="00297616" w:rsidRDefault="00864309" w:rsidP="00A73A7B">
            <w:pPr>
              <w:spacing w:line="240" w:lineRule="auto"/>
              <w:rPr>
                <w:i/>
              </w:rPr>
            </w:pPr>
            <w:r>
              <w:rPr>
                <w:i/>
              </w:rPr>
              <w:t xml:space="preserve">Pages </w:t>
            </w:r>
          </w:p>
        </w:tc>
        <w:tc>
          <w:tcPr>
            <w:tcW w:w="4645" w:type="dxa"/>
            <w:shd w:val="clear" w:color="auto" w:fill="auto"/>
          </w:tcPr>
          <w:p w:rsidR="00297616" w:rsidRDefault="00B359F3" w:rsidP="00A73A7B">
            <w:pPr>
              <w:spacing w:line="240" w:lineRule="auto"/>
              <w:rPr>
                <w:lang w:eastAsia="zh-CN"/>
              </w:rPr>
            </w:pPr>
            <w:r>
              <w:rPr>
                <w:lang w:eastAsia="zh-CN"/>
              </w:rPr>
              <w:t>2</w:t>
            </w:r>
          </w:p>
          <w:p w:rsidR="00297616" w:rsidRDefault="00297616" w:rsidP="00A73A7B">
            <w:pPr>
              <w:spacing w:line="240" w:lineRule="auto"/>
            </w:pPr>
          </w:p>
        </w:tc>
      </w:tr>
    </w:tbl>
    <w:p w:rsidR="00297616" w:rsidRDefault="00297616" w:rsidP="00A73A7B">
      <w:pPr>
        <w:pStyle w:val="Title"/>
        <w:rPr>
          <w:rFonts w:ascii="Georgia" w:eastAsia="SimSun" w:hAnsi="Georgia" w:cs="Arial"/>
          <w:bCs/>
          <w:i w:val="0"/>
          <w:color w:val="auto"/>
          <w:spacing w:val="0"/>
          <w:kern w:val="0"/>
          <w:sz w:val="22"/>
          <w:szCs w:val="22"/>
          <w:lang w:val="en-US"/>
        </w:rPr>
      </w:pPr>
    </w:p>
    <w:p w:rsidR="00AA7A37" w:rsidRPr="00A73A7B" w:rsidRDefault="00927963" w:rsidP="00A73A7B">
      <w:pPr>
        <w:jc w:val="center"/>
        <w:rPr>
          <w:b/>
          <w:sz w:val="24"/>
          <w:szCs w:val="24"/>
        </w:rPr>
      </w:pPr>
      <w:r w:rsidRPr="00A73A7B">
        <w:rPr>
          <w:b/>
          <w:sz w:val="24"/>
          <w:szCs w:val="24"/>
        </w:rPr>
        <w:t xml:space="preserve">Banks </w:t>
      </w:r>
      <w:r w:rsidR="005A69D4" w:rsidRPr="00A73A7B">
        <w:rPr>
          <w:b/>
          <w:sz w:val="24"/>
          <w:szCs w:val="24"/>
        </w:rPr>
        <w:t>need to employ more people to</w:t>
      </w:r>
      <w:r w:rsidRPr="00A73A7B">
        <w:rPr>
          <w:b/>
          <w:sz w:val="24"/>
          <w:szCs w:val="24"/>
        </w:rPr>
        <w:t xml:space="preserve"> prepar</w:t>
      </w:r>
      <w:r w:rsidR="005A69D4" w:rsidRPr="00A73A7B">
        <w:rPr>
          <w:b/>
          <w:sz w:val="24"/>
          <w:szCs w:val="24"/>
        </w:rPr>
        <w:t>e</w:t>
      </w:r>
      <w:r w:rsidRPr="00A73A7B">
        <w:rPr>
          <w:b/>
          <w:sz w:val="24"/>
          <w:szCs w:val="24"/>
        </w:rPr>
        <w:t xml:space="preserve"> for tougher regulatory stress tests</w:t>
      </w:r>
    </w:p>
    <w:p w:rsidR="00AA7A37" w:rsidRDefault="00AA7A37" w:rsidP="00A73A7B"/>
    <w:p w:rsidR="00927963" w:rsidRDefault="00A73A7B"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r w:rsidRPr="00A73A7B">
        <w:rPr>
          <w:rFonts w:cs="Arial"/>
          <w:b/>
          <w:bCs/>
          <w:szCs w:val="20"/>
          <w:lang w:eastAsia="zh-CN"/>
        </w:rPr>
        <w:t>London, 31 Jan 2014</w:t>
      </w:r>
      <w:r>
        <w:rPr>
          <w:rFonts w:cs="Arial"/>
          <w:bCs/>
          <w:szCs w:val="20"/>
          <w:lang w:eastAsia="zh-CN"/>
        </w:rPr>
        <w:noBreakHyphen/>
      </w:r>
      <w:r>
        <w:rPr>
          <w:rFonts w:cs="Arial"/>
          <w:bCs/>
          <w:szCs w:val="20"/>
          <w:lang w:eastAsia="zh-CN"/>
        </w:rPr>
        <w:noBreakHyphen/>
      </w:r>
      <w:r w:rsidR="003B093D">
        <w:rPr>
          <w:rFonts w:cs="Arial"/>
          <w:bCs/>
          <w:szCs w:val="20"/>
          <w:lang w:eastAsia="zh-CN"/>
        </w:rPr>
        <w:t>A new</w:t>
      </w:r>
      <w:r w:rsidR="00A34FCD">
        <w:rPr>
          <w:rFonts w:cs="Arial"/>
          <w:bCs/>
          <w:szCs w:val="20"/>
          <w:lang w:eastAsia="zh-CN"/>
        </w:rPr>
        <w:t xml:space="preserve"> report from PwC </w:t>
      </w:r>
      <w:r w:rsidR="00DF60C7">
        <w:rPr>
          <w:rFonts w:cs="Arial"/>
          <w:bCs/>
          <w:szCs w:val="20"/>
          <w:lang w:eastAsia="zh-CN"/>
        </w:rPr>
        <w:t>has revealed</w:t>
      </w:r>
      <w:r w:rsidR="00927963">
        <w:rPr>
          <w:rFonts w:cs="Arial"/>
          <w:bCs/>
          <w:szCs w:val="20"/>
          <w:lang w:eastAsia="zh-CN"/>
        </w:rPr>
        <w:t xml:space="preserve"> that </w:t>
      </w:r>
      <w:r w:rsidR="00DF60C7">
        <w:rPr>
          <w:rFonts w:cs="Arial"/>
          <w:bCs/>
          <w:szCs w:val="20"/>
          <w:lang w:eastAsia="zh-CN"/>
        </w:rPr>
        <w:t xml:space="preserve">banks </w:t>
      </w:r>
      <w:r w:rsidR="005A69D4">
        <w:rPr>
          <w:rFonts w:cs="Arial"/>
          <w:bCs/>
          <w:szCs w:val="20"/>
          <w:lang w:eastAsia="zh-CN"/>
        </w:rPr>
        <w:t>do not have enough employees dedicated</w:t>
      </w:r>
      <w:r w:rsidR="00DF60C7">
        <w:rPr>
          <w:rFonts w:cs="Arial"/>
          <w:bCs/>
          <w:szCs w:val="20"/>
          <w:lang w:eastAsia="zh-CN"/>
        </w:rPr>
        <w:t xml:space="preserve"> </w:t>
      </w:r>
      <w:r w:rsidR="005A69D4">
        <w:rPr>
          <w:rFonts w:cs="Arial"/>
          <w:bCs/>
          <w:szCs w:val="20"/>
          <w:lang w:eastAsia="zh-CN"/>
        </w:rPr>
        <w:t xml:space="preserve">to preparing </w:t>
      </w:r>
      <w:r w:rsidR="00DF60C7">
        <w:rPr>
          <w:rFonts w:cs="Arial"/>
          <w:bCs/>
          <w:szCs w:val="20"/>
          <w:lang w:eastAsia="zh-CN"/>
        </w:rPr>
        <w:t xml:space="preserve">for tougher regulatory stress tests. </w:t>
      </w:r>
      <w:r w:rsidR="00927963">
        <w:rPr>
          <w:rFonts w:cs="Arial"/>
          <w:bCs/>
          <w:szCs w:val="20"/>
          <w:lang w:eastAsia="zh-CN"/>
        </w:rPr>
        <w:t xml:space="preserve">The report, </w:t>
      </w:r>
      <w:r w:rsidR="00927963" w:rsidRPr="00927963">
        <w:rPr>
          <w:rFonts w:cs="Arial"/>
          <w:bCs/>
          <w:i/>
          <w:szCs w:val="20"/>
          <w:lang w:eastAsia="zh-CN"/>
        </w:rPr>
        <w:t>Passing the stress test</w:t>
      </w:r>
      <w:r w:rsidR="00927963">
        <w:rPr>
          <w:rFonts w:cs="Arial"/>
          <w:bCs/>
          <w:szCs w:val="20"/>
          <w:lang w:eastAsia="zh-CN"/>
        </w:rPr>
        <w:t xml:space="preserve">, based on a </w:t>
      </w:r>
      <w:r w:rsidR="001146C2">
        <w:rPr>
          <w:rFonts w:cs="Arial"/>
          <w:bCs/>
          <w:szCs w:val="20"/>
          <w:lang w:eastAsia="zh-CN"/>
        </w:rPr>
        <w:t xml:space="preserve">global </w:t>
      </w:r>
      <w:r w:rsidR="00927963">
        <w:rPr>
          <w:rFonts w:cs="Arial"/>
          <w:bCs/>
          <w:szCs w:val="20"/>
          <w:lang w:eastAsia="zh-CN"/>
        </w:rPr>
        <w:t xml:space="preserve">survey of 24 </w:t>
      </w:r>
      <w:r w:rsidR="001146C2">
        <w:rPr>
          <w:rFonts w:cs="Arial"/>
          <w:bCs/>
          <w:szCs w:val="20"/>
          <w:lang w:eastAsia="zh-CN"/>
        </w:rPr>
        <w:t xml:space="preserve">mainly non-US </w:t>
      </w:r>
      <w:r w:rsidR="00927963">
        <w:rPr>
          <w:rFonts w:cs="Arial"/>
          <w:bCs/>
          <w:szCs w:val="20"/>
          <w:lang w:eastAsia="zh-CN"/>
        </w:rPr>
        <w:t xml:space="preserve">banks, </w:t>
      </w:r>
      <w:r w:rsidR="00DF60C7">
        <w:rPr>
          <w:rFonts w:cs="Arial"/>
          <w:bCs/>
          <w:szCs w:val="20"/>
          <w:lang w:eastAsia="zh-CN"/>
        </w:rPr>
        <w:t>found that</w:t>
      </w:r>
      <w:r w:rsidR="006E3D0D">
        <w:rPr>
          <w:rFonts w:cs="Arial"/>
          <w:bCs/>
          <w:szCs w:val="20"/>
          <w:lang w:eastAsia="zh-CN"/>
        </w:rPr>
        <w:t>,</w:t>
      </w:r>
      <w:r w:rsidR="00DF60C7">
        <w:rPr>
          <w:rFonts w:cs="Arial"/>
          <w:bCs/>
          <w:szCs w:val="20"/>
          <w:lang w:eastAsia="zh-CN"/>
        </w:rPr>
        <w:t xml:space="preserve"> overall, participating banks are confident that they meet current regulatory requirements but </w:t>
      </w:r>
      <w:r w:rsidR="001146C2">
        <w:rPr>
          <w:rFonts w:cs="Arial"/>
          <w:bCs/>
          <w:szCs w:val="20"/>
          <w:lang w:eastAsia="zh-CN"/>
        </w:rPr>
        <w:t xml:space="preserve">that they </w:t>
      </w:r>
      <w:r w:rsidR="00175E01">
        <w:rPr>
          <w:rFonts w:cs="Arial"/>
          <w:bCs/>
          <w:szCs w:val="20"/>
          <w:lang w:eastAsia="zh-CN"/>
        </w:rPr>
        <w:t>underestimat</w:t>
      </w:r>
      <w:r w:rsidR="001146C2">
        <w:rPr>
          <w:rFonts w:cs="Arial"/>
          <w:bCs/>
          <w:szCs w:val="20"/>
          <w:lang w:eastAsia="zh-CN"/>
        </w:rPr>
        <w:t>e</w:t>
      </w:r>
      <w:r w:rsidR="00DF60C7">
        <w:rPr>
          <w:rFonts w:cs="Arial"/>
          <w:bCs/>
          <w:szCs w:val="20"/>
          <w:lang w:eastAsia="zh-CN"/>
        </w:rPr>
        <w:t xml:space="preserve"> </w:t>
      </w:r>
      <w:r w:rsidR="00F8782B">
        <w:rPr>
          <w:rFonts w:cs="Arial"/>
          <w:bCs/>
          <w:szCs w:val="20"/>
          <w:lang w:eastAsia="zh-CN"/>
        </w:rPr>
        <w:t>the amount of resource</w:t>
      </w:r>
      <w:r w:rsidR="00DF60C7">
        <w:rPr>
          <w:rFonts w:cs="Arial"/>
          <w:bCs/>
          <w:szCs w:val="20"/>
          <w:lang w:eastAsia="zh-CN"/>
        </w:rPr>
        <w:t xml:space="preserve"> need</w:t>
      </w:r>
      <w:r w:rsidR="00F8782B">
        <w:rPr>
          <w:rFonts w:cs="Arial"/>
          <w:bCs/>
          <w:szCs w:val="20"/>
          <w:lang w:eastAsia="zh-CN"/>
        </w:rPr>
        <w:t>ed</w:t>
      </w:r>
      <w:r w:rsidR="00DF60C7">
        <w:rPr>
          <w:rFonts w:cs="Arial"/>
          <w:bCs/>
          <w:szCs w:val="20"/>
          <w:lang w:eastAsia="zh-CN"/>
        </w:rPr>
        <w:t xml:space="preserve"> to </w:t>
      </w:r>
      <w:r w:rsidR="00F8782B">
        <w:rPr>
          <w:rFonts w:cs="Arial"/>
          <w:bCs/>
          <w:szCs w:val="20"/>
          <w:lang w:eastAsia="zh-CN"/>
        </w:rPr>
        <w:t>meet the</w:t>
      </w:r>
      <w:r w:rsidR="00DF60C7">
        <w:rPr>
          <w:rFonts w:cs="Arial"/>
          <w:bCs/>
          <w:szCs w:val="20"/>
          <w:lang w:eastAsia="zh-CN"/>
        </w:rPr>
        <w:t xml:space="preserve"> demands of a tougher regulatory </w:t>
      </w:r>
      <w:r w:rsidR="001146C2">
        <w:rPr>
          <w:rFonts w:cs="Arial"/>
          <w:bCs/>
          <w:szCs w:val="20"/>
          <w:lang w:eastAsia="zh-CN"/>
        </w:rPr>
        <w:t xml:space="preserve">stress testing </w:t>
      </w:r>
      <w:r w:rsidR="00DF60C7">
        <w:rPr>
          <w:rFonts w:cs="Arial"/>
          <w:bCs/>
          <w:szCs w:val="20"/>
          <w:lang w:eastAsia="zh-CN"/>
        </w:rPr>
        <w:t>regime.</w:t>
      </w:r>
    </w:p>
    <w:p w:rsidR="00A770BD" w:rsidRDefault="00A770BD"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p>
    <w:p w:rsidR="00A770BD" w:rsidRDefault="00A770BD"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r>
        <w:rPr>
          <w:rFonts w:cs="Arial"/>
          <w:bCs/>
          <w:szCs w:val="20"/>
          <w:lang w:eastAsia="zh-CN"/>
        </w:rPr>
        <w:t xml:space="preserve">90% of respondents have fewer than 20 people dedicated to stress tests. This is </w:t>
      </w:r>
      <w:r w:rsidR="001146C2">
        <w:rPr>
          <w:rFonts w:cs="Arial"/>
          <w:bCs/>
          <w:szCs w:val="20"/>
          <w:lang w:eastAsia="zh-CN"/>
        </w:rPr>
        <w:t xml:space="preserve">less than </w:t>
      </w:r>
      <w:r>
        <w:rPr>
          <w:rFonts w:cs="Arial"/>
          <w:bCs/>
          <w:szCs w:val="20"/>
          <w:lang w:eastAsia="zh-CN"/>
        </w:rPr>
        <w:t xml:space="preserve">half </w:t>
      </w:r>
      <w:r w:rsidR="006E3D0D">
        <w:rPr>
          <w:rFonts w:cs="Arial"/>
          <w:bCs/>
          <w:szCs w:val="20"/>
          <w:lang w:eastAsia="zh-CN"/>
        </w:rPr>
        <w:t xml:space="preserve">of </w:t>
      </w:r>
      <w:r>
        <w:rPr>
          <w:rFonts w:cs="Arial"/>
          <w:bCs/>
          <w:szCs w:val="20"/>
          <w:lang w:eastAsia="zh-CN"/>
        </w:rPr>
        <w:t xml:space="preserve">that </w:t>
      </w:r>
      <w:r w:rsidR="00ED0142">
        <w:rPr>
          <w:rFonts w:cs="Arial"/>
          <w:bCs/>
          <w:szCs w:val="20"/>
          <w:lang w:eastAsia="zh-CN"/>
        </w:rPr>
        <w:t xml:space="preserve">typically </w:t>
      </w:r>
      <w:r>
        <w:rPr>
          <w:rFonts w:cs="Arial"/>
          <w:bCs/>
          <w:szCs w:val="20"/>
          <w:lang w:eastAsia="zh-CN"/>
        </w:rPr>
        <w:t>seen in comparable US banks</w:t>
      </w:r>
      <w:r w:rsidR="00ED0142">
        <w:rPr>
          <w:rFonts w:cs="Arial"/>
          <w:bCs/>
          <w:szCs w:val="20"/>
          <w:lang w:eastAsia="zh-CN"/>
        </w:rPr>
        <w:t xml:space="preserve"> (some US banks have significantly more)</w:t>
      </w:r>
      <w:r>
        <w:rPr>
          <w:rFonts w:cs="Arial"/>
          <w:bCs/>
          <w:szCs w:val="20"/>
          <w:lang w:eastAsia="zh-CN"/>
        </w:rPr>
        <w:t xml:space="preserve">, </w:t>
      </w:r>
      <w:r w:rsidR="00D43CFB">
        <w:rPr>
          <w:rFonts w:cs="Arial"/>
          <w:bCs/>
          <w:szCs w:val="20"/>
          <w:lang w:eastAsia="zh-CN"/>
        </w:rPr>
        <w:t xml:space="preserve">which </w:t>
      </w:r>
      <w:r w:rsidR="001146C2">
        <w:rPr>
          <w:rFonts w:cs="Arial"/>
          <w:bCs/>
          <w:szCs w:val="20"/>
          <w:lang w:eastAsia="zh-CN"/>
        </w:rPr>
        <w:t>have</w:t>
      </w:r>
      <w:r>
        <w:rPr>
          <w:rFonts w:cs="Arial"/>
          <w:bCs/>
          <w:szCs w:val="20"/>
          <w:lang w:eastAsia="zh-CN"/>
        </w:rPr>
        <w:t xml:space="preserve"> increased staff levels in response to demands imposed by the Federal Reserve</w:t>
      </w:r>
      <w:r w:rsidR="00ED0142">
        <w:rPr>
          <w:rFonts w:cs="Arial"/>
          <w:bCs/>
          <w:szCs w:val="20"/>
          <w:lang w:eastAsia="zh-CN"/>
        </w:rPr>
        <w:t>.</w:t>
      </w:r>
      <w:r w:rsidR="00610A9B">
        <w:rPr>
          <w:rFonts w:cs="Arial"/>
          <w:bCs/>
          <w:szCs w:val="20"/>
          <w:lang w:eastAsia="zh-CN"/>
        </w:rPr>
        <w:t xml:space="preserve"> None of the respondents to the survey planned to recruit more than 20 people to work on stress testing in the next three years.</w:t>
      </w:r>
    </w:p>
    <w:p w:rsidR="005A69D4" w:rsidRDefault="005A69D4"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p>
    <w:p w:rsidR="005A69D4" w:rsidRDefault="005A69D4" w:rsidP="00A73A7B">
      <w:pPr>
        <w:pStyle w:val="BodyText"/>
        <w:rPr>
          <w:rFonts w:cs="Arial"/>
          <w:bCs/>
          <w:szCs w:val="20"/>
          <w:lang w:eastAsia="zh-CN"/>
        </w:rPr>
      </w:pPr>
      <w:r>
        <w:t>Mos</w:t>
      </w:r>
      <w:r w:rsidRPr="00495A73">
        <w:t>t respondents</w:t>
      </w:r>
      <w:r>
        <w:t xml:space="preserve"> acknowledge additional</w:t>
      </w:r>
      <w:r w:rsidRPr="00495A73">
        <w:t xml:space="preserve"> investment </w:t>
      </w:r>
      <w:r>
        <w:t>will be required. O</w:t>
      </w:r>
      <w:r w:rsidRPr="00495A73">
        <w:t xml:space="preserve">nly </w:t>
      </w:r>
      <w:r w:rsidRPr="009F63C0">
        <w:t>13%</w:t>
      </w:r>
      <w:r w:rsidRPr="00495A73">
        <w:t xml:space="preserve"> of respondents reported they already ha</w:t>
      </w:r>
      <w:r>
        <w:t>ve</w:t>
      </w:r>
      <w:r w:rsidRPr="00495A73">
        <w:t xml:space="preserve"> sufficient, adequately skilled staff to conduct regulatory stress testing with most others citing some gaps in existing staff capabilities and, more typically, numbers</w:t>
      </w:r>
      <w:r>
        <w:t xml:space="preserve">. </w:t>
      </w:r>
    </w:p>
    <w:p w:rsidR="000F0866" w:rsidRDefault="000F0866"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r>
        <w:rPr>
          <w:rFonts w:cs="Arial"/>
          <w:bCs/>
          <w:szCs w:val="20"/>
          <w:lang w:eastAsia="zh-CN"/>
        </w:rPr>
        <w:t>Keith Ackerman, partner at PwC, said:</w:t>
      </w:r>
    </w:p>
    <w:p w:rsidR="000F0866" w:rsidRDefault="000F0866"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p>
    <w:p w:rsidR="005A69D4" w:rsidRDefault="000F0866"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ind w:left="284"/>
      </w:pPr>
      <w:r>
        <w:rPr>
          <w:rFonts w:cs="Arial"/>
          <w:bCs/>
          <w:szCs w:val="20"/>
          <w:lang w:eastAsia="zh-CN"/>
        </w:rPr>
        <w:t xml:space="preserve">“The </w:t>
      </w:r>
      <w:r w:rsidR="00175E01">
        <w:rPr>
          <w:rFonts w:cs="Arial"/>
          <w:bCs/>
          <w:szCs w:val="20"/>
          <w:lang w:eastAsia="zh-CN"/>
        </w:rPr>
        <w:t>way</w:t>
      </w:r>
      <w:r w:rsidR="00F8782B">
        <w:rPr>
          <w:rFonts w:cs="Arial"/>
          <w:bCs/>
          <w:szCs w:val="20"/>
          <w:lang w:eastAsia="zh-CN"/>
        </w:rPr>
        <w:t xml:space="preserve"> global</w:t>
      </w:r>
      <w:r w:rsidR="00175E01">
        <w:rPr>
          <w:rFonts w:cs="Arial"/>
          <w:bCs/>
          <w:szCs w:val="20"/>
          <w:lang w:eastAsia="zh-CN"/>
        </w:rPr>
        <w:t xml:space="preserve"> banks prepare</w:t>
      </w:r>
      <w:r>
        <w:rPr>
          <w:rFonts w:cs="Arial"/>
          <w:bCs/>
          <w:szCs w:val="20"/>
          <w:lang w:eastAsia="zh-CN"/>
        </w:rPr>
        <w:t xml:space="preserve"> for stress testing needs to change. </w:t>
      </w:r>
      <w:r w:rsidR="005A69D4">
        <w:t xml:space="preserve">Past experience has shown that very demanding regulatory stress testing regimes require larger teams with the appropriate skills to deliver value. </w:t>
      </w:r>
    </w:p>
    <w:p w:rsidR="005A69D4" w:rsidRDefault="005A69D4"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ind w:left="284"/>
      </w:pPr>
    </w:p>
    <w:p w:rsidR="000F0866" w:rsidRDefault="00780F9A"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ind w:left="284"/>
        <w:rPr>
          <w:rFonts w:cs="Arial"/>
          <w:bCs/>
          <w:szCs w:val="20"/>
          <w:lang w:eastAsia="zh-CN"/>
        </w:rPr>
      </w:pPr>
      <w:r>
        <w:rPr>
          <w:rFonts w:cs="Arial"/>
          <w:bCs/>
          <w:szCs w:val="20"/>
          <w:lang w:eastAsia="zh-CN"/>
        </w:rPr>
        <w:t>“</w:t>
      </w:r>
      <w:r w:rsidR="000F0866">
        <w:rPr>
          <w:rFonts w:cs="Arial"/>
          <w:bCs/>
          <w:szCs w:val="20"/>
          <w:lang w:eastAsia="zh-CN"/>
        </w:rPr>
        <w:t>In order to meet future regulatory demands, banks need to move regulatory stress testing from a standalone process to one that</w:t>
      </w:r>
      <w:r w:rsidR="00F8782B">
        <w:rPr>
          <w:rFonts w:cs="Arial"/>
          <w:bCs/>
          <w:szCs w:val="20"/>
          <w:lang w:eastAsia="zh-CN"/>
        </w:rPr>
        <w:t xml:space="preserve"> has more resource and</w:t>
      </w:r>
      <w:r w:rsidR="000F0866">
        <w:rPr>
          <w:rFonts w:cs="Arial"/>
          <w:bCs/>
          <w:szCs w:val="20"/>
          <w:lang w:eastAsia="zh-CN"/>
        </w:rPr>
        <w:t xml:space="preserve"> is integrated with other parts of the business and its strategy. Banks face a complex challenge in simultaneously managing the delivery of stress tests and improvements to their stress testing processes, </w:t>
      </w:r>
      <w:r w:rsidR="00175E01">
        <w:rPr>
          <w:rFonts w:cs="Arial"/>
          <w:bCs/>
          <w:szCs w:val="20"/>
          <w:lang w:eastAsia="zh-CN"/>
        </w:rPr>
        <w:t>made more challenging</w:t>
      </w:r>
      <w:r w:rsidR="000F0866">
        <w:rPr>
          <w:rFonts w:cs="Arial"/>
          <w:bCs/>
          <w:szCs w:val="20"/>
          <w:lang w:eastAsia="zh-CN"/>
        </w:rPr>
        <w:t xml:space="preserve"> by the changing regulatory landscape.</w:t>
      </w:r>
      <w:r w:rsidR="00870D9A">
        <w:rPr>
          <w:rFonts w:cs="Arial"/>
          <w:bCs/>
          <w:szCs w:val="20"/>
          <w:lang w:eastAsia="zh-CN"/>
        </w:rPr>
        <w:t>”</w:t>
      </w:r>
    </w:p>
    <w:p w:rsidR="000F0866" w:rsidRDefault="003B093D" w:rsidP="00A73A7B">
      <w:pPr>
        <w:tabs>
          <w:tab w:val="left" w:pos="0"/>
          <w:tab w:val="left" w:pos="2880"/>
        </w:tabs>
        <w:autoSpaceDE w:val="0"/>
        <w:autoSpaceDN w:val="0"/>
        <w:adjustRightInd w:val="0"/>
        <w:spacing w:line="240" w:lineRule="auto"/>
        <w:rPr>
          <w:rFonts w:cs="Arial"/>
          <w:bCs/>
          <w:szCs w:val="20"/>
          <w:lang w:eastAsia="zh-CN"/>
        </w:rPr>
      </w:pPr>
      <w:r>
        <w:rPr>
          <w:rFonts w:cs="Arial"/>
          <w:bCs/>
          <w:szCs w:val="20"/>
          <w:lang w:eastAsia="zh-CN"/>
        </w:rPr>
        <w:tab/>
      </w:r>
    </w:p>
    <w:p w:rsidR="000F0866" w:rsidRDefault="000F0866"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r>
        <w:rPr>
          <w:rFonts w:cs="Arial"/>
          <w:bCs/>
          <w:szCs w:val="20"/>
          <w:lang w:eastAsia="zh-CN"/>
        </w:rPr>
        <w:t>Richard Barfield, director at PwC, said:</w:t>
      </w:r>
    </w:p>
    <w:p w:rsidR="000F0866" w:rsidRDefault="000F0866" w:rsidP="00A73A7B">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p>
    <w:p w:rsidR="000F0866" w:rsidRDefault="000F0866"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ind w:left="284"/>
        <w:rPr>
          <w:rFonts w:cs="Arial"/>
          <w:bCs/>
          <w:szCs w:val="20"/>
          <w:lang w:eastAsia="zh-CN"/>
        </w:rPr>
      </w:pPr>
      <w:r>
        <w:rPr>
          <w:rFonts w:cs="Arial"/>
          <w:bCs/>
          <w:szCs w:val="20"/>
          <w:lang w:eastAsia="zh-CN"/>
        </w:rPr>
        <w:t>“</w:t>
      </w:r>
      <w:r w:rsidR="00175E01">
        <w:rPr>
          <w:rFonts w:cs="Arial"/>
          <w:bCs/>
          <w:szCs w:val="20"/>
          <w:lang w:eastAsia="zh-CN"/>
        </w:rPr>
        <w:t xml:space="preserve">The way </w:t>
      </w:r>
      <w:r>
        <w:rPr>
          <w:rFonts w:cs="Arial"/>
          <w:bCs/>
          <w:szCs w:val="20"/>
          <w:lang w:eastAsia="zh-CN"/>
        </w:rPr>
        <w:t>banks carry out regulatory stress tests is becoming more critical, simply because of their power to set capital buffer levels, determine management actions and restrict dividends and employee bonuses</w:t>
      </w:r>
      <w:r w:rsidR="00175E01">
        <w:rPr>
          <w:rFonts w:cs="Arial"/>
          <w:bCs/>
          <w:szCs w:val="20"/>
          <w:lang w:eastAsia="zh-CN"/>
        </w:rPr>
        <w:t>.</w:t>
      </w:r>
      <w:r>
        <w:rPr>
          <w:rFonts w:cs="Arial"/>
          <w:bCs/>
          <w:szCs w:val="20"/>
          <w:lang w:eastAsia="zh-CN"/>
        </w:rPr>
        <w:t xml:space="preserve">  </w:t>
      </w:r>
      <w:r w:rsidR="00175E01">
        <w:rPr>
          <w:rFonts w:cs="Arial"/>
          <w:bCs/>
          <w:szCs w:val="20"/>
          <w:lang w:eastAsia="zh-CN"/>
        </w:rPr>
        <w:t>S</w:t>
      </w:r>
      <w:r>
        <w:rPr>
          <w:rFonts w:cs="Arial"/>
          <w:bCs/>
          <w:szCs w:val="20"/>
          <w:lang w:eastAsia="zh-CN"/>
        </w:rPr>
        <w:t xml:space="preserve">tress testing sits squarely on the agenda of CEOs. </w:t>
      </w:r>
    </w:p>
    <w:p w:rsidR="000F0866" w:rsidRDefault="000F0866"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rPr>
          <w:rFonts w:cs="Arial"/>
          <w:bCs/>
          <w:szCs w:val="20"/>
          <w:lang w:eastAsia="zh-CN"/>
        </w:rPr>
      </w:pPr>
    </w:p>
    <w:p w:rsidR="00A73A7B" w:rsidRDefault="00A73A7B">
      <w:pPr>
        <w:spacing w:line="240" w:lineRule="auto"/>
        <w:rPr>
          <w:rFonts w:cs="Arial"/>
          <w:bCs/>
          <w:szCs w:val="20"/>
          <w:lang w:eastAsia="zh-CN"/>
        </w:rPr>
      </w:pPr>
      <w:r>
        <w:rPr>
          <w:rFonts w:cs="Arial"/>
          <w:bCs/>
          <w:szCs w:val="20"/>
          <w:lang w:eastAsia="zh-CN"/>
        </w:rPr>
        <w:br w:type="page"/>
      </w:r>
    </w:p>
    <w:p w:rsidR="000F0866" w:rsidRDefault="000F0866" w:rsidP="00A73A7B">
      <w:pPr>
        <w:tabs>
          <w:tab w:val="left" w:pos="-720"/>
          <w:tab w:val="left" w:pos="284"/>
          <w:tab w:val="left" w:pos="720"/>
          <w:tab w:val="left" w:pos="1440"/>
          <w:tab w:val="left" w:pos="2160"/>
          <w:tab w:val="left" w:pos="2880"/>
          <w:tab w:val="left" w:pos="3600"/>
          <w:tab w:val="left" w:pos="4320"/>
        </w:tabs>
        <w:autoSpaceDE w:val="0"/>
        <w:autoSpaceDN w:val="0"/>
        <w:adjustRightInd w:val="0"/>
        <w:spacing w:line="240" w:lineRule="auto"/>
        <w:ind w:left="284"/>
        <w:rPr>
          <w:rFonts w:cs="Arial"/>
          <w:bCs/>
          <w:szCs w:val="20"/>
          <w:lang w:eastAsia="zh-CN"/>
        </w:rPr>
      </w:pPr>
      <w:bookmarkStart w:id="0" w:name="_GoBack"/>
      <w:bookmarkEnd w:id="0"/>
      <w:r>
        <w:rPr>
          <w:rFonts w:cs="Arial"/>
          <w:bCs/>
          <w:szCs w:val="20"/>
          <w:lang w:eastAsia="zh-CN"/>
        </w:rPr>
        <w:lastRenderedPageBreak/>
        <w:t xml:space="preserve">“For most banks, stress testing will require sustained focus over </w:t>
      </w:r>
      <w:r w:rsidR="00175E01">
        <w:rPr>
          <w:rFonts w:cs="Arial"/>
          <w:bCs/>
          <w:szCs w:val="20"/>
          <w:lang w:eastAsia="zh-CN"/>
        </w:rPr>
        <w:t>a long</w:t>
      </w:r>
      <w:r>
        <w:rPr>
          <w:rFonts w:cs="Arial"/>
          <w:bCs/>
          <w:szCs w:val="20"/>
          <w:lang w:eastAsia="zh-CN"/>
        </w:rPr>
        <w:t xml:space="preserve"> of time</w:t>
      </w:r>
      <w:r w:rsidR="00F8782B">
        <w:rPr>
          <w:rFonts w:cs="Arial"/>
          <w:bCs/>
          <w:szCs w:val="20"/>
          <w:lang w:eastAsia="zh-CN"/>
        </w:rPr>
        <w:t xml:space="preserve"> and employing more people dedicated to stress testing will be needed</w:t>
      </w:r>
      <w:r>
        <w:rPr>
          <w:rFonts w:cs="Arial"/>
          <w:bCs/>
          <w:szCs w:val="20"/>
          <w:lang w:eastAsia="zh-CN"/>
        </w:rPr>
        <w:t>. But the rewards are potentially great</w:t>
      </w:r>
      <w:r w:rsidR="00175E01">
        <w:rPr>
          <w:rFonts w:cs="Arial"/>
          <w:bCs/>
          <w:szCs w:val="20"/>
          <w:lang w:eastAsia="zh-CN"/>
        </w:rPr>
        <w:t xml:space="preserve"> as</w:t>
      </w:r>
      <w:r>
        <w:rPr>
          <w:rFonts w:cs="Arial"/>
          <w:bCs/>
          <w:szCs w:val="20"/>
          <w:lang w:eastAsia="zh-CN"/>
        </w:rPr>
        <w:t xml:space="preserve"> those banks that pass stress tests and don’t lag behind their competitors could achieve a relatively lower capital buffer.”</w:t>
      </w:r>
    </w:p>
    <w:p w:rsidR="000F0866" w:rsidRPr="006561E8" w:rsidRDefault="000F0866" w:rsidP="00A73A7B">
      <w:pPr>
        <w:tabs>
          <w:tab w:val="left" w:pos="567"/>
        </w:tabs>
        <w:autoSpaceDE w:val="0"/>
        <w:autoSpaceDN w:val="0"/>
        <w:adjustRightInd w:val="0"/>
        <w:spacing w:line="240" w:lineRule="auto"/>
        <w:rPr>
          <w:rFonts w:cs="Arial"/>
          <w:bCs/>
          <w:szCs w:val="20"/>
          <w:lang w:eastAsia="zh-CN"/>
        </w:rPr>
      </w:pPr>
    </w:p>
    <w:p w:rsidR="00A436D5" w:rsidRDefault="00A436D5" w:rsidP="00A73A7B">
      <w:pPr>
        <w:tabs>
          <w:tab w:val="left" w:pos="567"/>
        </w:tabs>
        <w:autoSpaceDE w:val="0"/>
        <w:autoSpaceDN w:val="0"/>
        <w:adjustRightInd w:val="0"/>
        <w:spacing w:line="240" w:lineRule="auto"/>
        <w:rPr>
          <w:rFonts w:cs="Arial"/>
          <w:bCs/>
          <w:szCs w:val="20"/>
          <w:lang w:eastAsia="zh-CN"/>
        </w:rPr>
      </w:pPr>
      <w:r>
        <w:rPr>
          <w:rFonts w:cs="Arial"/>
          <w:bCs/>
          <w:szCs w:val="20"/>
          <w:lang w:eastAsia="zh-CN"/>
        </w:rPr>
        <w:t xml:space="preserve">Other findings </w:t>
      </w:r>
      <w:r w:rsidRPr="006561E8">
        <w:rPr>
          <w:rFonts w:cs="Arial"/>
          <w:bCs/>
          <w:szCs w:val="20"/>
          <w:lang w:eastAsia="zh-CN"/>
        </w:rPr>
        <w:t>from the report</w:t>
      </w:r>
      <w:r>
        <w:rPr>
          <w:rFonts w:cs="Arial"/>
          <w:bCs/>
          <w:szCs w:val="20"/>
          <w:lang w:eastAsia="zh-CN"/>
        </w:rPr>
        <w:t xml:space="preserve"> </w:t>
      </w:r>
      <w:r w:rsidRPr="006561E8">
        <w:rPr>
          <w:rFonts w:cs="Arial"/>
          <w:bCs/>
          <w:szCs w:val="20"/>
          <w:lang w:eastAsia="zh-CN"/>
        </w:rPr>
        <w:t>include:</w:t>
      </w:r>
    </w:p>
    <w:p w:rsidR="00A436D5" w:rsidRDefault="00A436D5" w:rsidP="00A73A7B">
      <w:pPr>
        <w:tabs>
          <w:tab w:val="left" w:pos="567"/>
        </w:tabs>
        <w:autoSpaceDE w:val="0"/>
        <w:autoSpaceDN w:val="0"/>
        <w:adjustRightInd w:val="0"/>
        <w:spacing w:line="240" w:lineRule="auto"/>
        <w:rPr>
          <w:rFonts w:cs="Arial"/>
          <w:bCs/>
          <w:szCs w:val="20"/>
          <w:lang w:eastAsia="zh-CN"/>
        </w:rPr>
      </w:pPr>
    </w:p>
    <w:p w:rsidR="00A436D5" w:rsidRDefault="00A436D5" w:rsidP="00A73A7B">
      <w:pPr>
        <w:tabs>
          <w:tab w:val="left" w:pos="567"/>
        </w:tabs>
        <w:autoSpaceDE w:val="0"/>
        <w:autoSpaceDN w:val="0"/>
        <w:adjustRightInd w:val="0"/>
        <w:spacing w:line="240" w:lineRule="auto"/>
        <w:rPr>
          <w:rFonts w:cs="Arial"/>
          <w:bCs/>
          <w:szCs w:val="20"/>
          <w:lang w:eastAsia="zh-CN"/>
        </w:rPr>
      </w:pPr>
      <w:r>
        <w:rPr>
          <w:rFonts w:cs="Arial"/>
          <w:bCs/>
          <w:szCs w:val="20"/>
          <w:lang w:eastAsia="zh-CN"/>
        </w:rPr>
        <w:t>More comprehensive Board engagement is required: while Boards and senior management are heavily involved at the results stage, they are rarely involved in the end to end process of stress testing. This means they are likely to fall short of the increasing regulatory requirement for more comprehensive involvement.</w:t>
      </w:r>
    </w:p>
    <w:p w:rsidR="00A436D5" w:rsidRDefault="00A436D5" w:rsidP="00A73A7B">
      <w:pPr>
        <w:tabs>
          <w:tab w:val="left" w:pos="567"/>
        </w:tabs>
        <w:autoSpaceDE w:val="0"/>
        <w:autoSpaceDN w:val="0"/>
        <w:adjustRightInd w:val="0"/>
        <w:spacing w:line="240" w:lineRule="auto"/>
        <w:rPr>
          <w:rFonts w:cs="Arial"/>
          <w:bCs/>
          <w:szCs w:val="20"/>
          <w:lang w:eastAsia="zh-CN"/>
        </w:rPr>
      </w:pPr>
    </w:p>
    <w:p w:rsidR="00057561" w:rsidRPr="006561E8" w:rsidRDefault="00A436D5" w:rsidP="00A73A7B">
      <w:pPr>
        <w:tabs>
          <w:tab w:val="left" w:pos="567"/>
        </w:tabs>
        <w:autoSpaceDE w:val="0"/>
        <w:autoSpaceDN w:val="0"/>
        <w:adjustRightInd w:val="0"/>
        <w:spacing w:line="240" w:lineRule="auto"/>
        <w:rPr>
          <w:rFonts w:cs="Arial"/>
          <w:bCs/>
          <w:szCs w:val="20"/>
          <w:lang w:eastAsia="zh-CN"/>
        </w:rPr>
      </w:pPr>
      <w:r>
        <w:rPr>
          <w:rFonts w:cs="Arial"/>
          <w:bCs/>
          <w:szCs w:val="20"/>
          <w:lang w:eastAsia="zh-CN"/>
        </w:rPr>
        <w:t>Results could have wider use in informing and managing the business: while banks agree regulatory stress tests provide useful insights, 95% have never or rarely revised business plans in response.</w:t>
      </w:r>
    </w:p>
    <w:p w:rsidR="001C2276" w:rsidRPr="001C2276" w:rsidRDefault="001C2276" w:rsidP="00A73A7B">
      <w:pPr>
        <w:tabs>
          <w:tab w:val="left" w:pos="567"/>
        </w:tabs>
        <w:autoSpaceDE w:val="0"/>
        <w:autoSpaceDN w:val="0"/>
        <w:adjustRightInd w:val="0"/>
        <w:rPr>
          <w:bCs/>
          <w:szCs w:val="20"/>
        </w:rPr>
      </w:pPr>
    </w:p>
    <w:p w:rsidR="00297616" w:rsidRPr="006561E8" w:rsidRDefault="00864309" w:rsidP="00A73A7B">
      <w:pPr>
        <w:autoSpaceDE w:val="0"/>
        <w:autoSpaceDN w:val="0"/>
        <w:adjustRightInd w:val="0"/>
        <w:spacing w:line="276" w:lineRule="auto"/>
        <w:rPr>
          <w:rFonts w:eastAsia="PMingLiU"/>
          <w:b/>
          <w:szCs w:val="20"/>
        </w:rPr>
      </w:pPr>
      <w:r w:rsidRPr="006561E8">
        <w:rPr>
          <w:rFonts w:eastAsia="PMingLiU"/>
          <w:b/>
          <w:szCs w:val="20"/>
        </w:rPr>
        <w:t>END</w:t>
      </w:r>
    </w:p>
    <w:p w:rsidR="007C2381" w:rsidRPr="006561E8" w:rsidRDefault="007C2381" w:rsidP="00A73A7B">
      <w:pPr>
        <w:tabs>
          <w:tab w:val="left" w:pos="3660"/>
        </w:tabs>
        <w:autoSpaceDE w:val="0"/>
        <w:autoSpaceDN w:val="0"/>
        <w:adjustRightInd w:val="0"/>
        <w:spacing w:line="240" w:lineRule="auto"/>
        <w:rPr>
          <w:rFonts w:cs="Georgia"/>
          <w:szCs w:val="20"/>
        </w:rPr>
      </w:pPr>
    </w:p>
    <w:p w:rsidR="005204F6" w:rsidRPr="004D36BE" w:rsidRDefault="007C2381" w:rsidP="00A73A7B">
      <w:pPr>
        <w:tabs>
          <w:tab w:val="left" w:pos="3660"/>
        </w:tabs>
        <w:autoSpaceDE w:val="0"/>
        <w:autoSpaceDN w:val="0"/>
        <w:adjustRightInd w:val="0"/>
        <w:spacing w:line="240" w:lineRule="auto"/>
        <w:rPr>
          <w:rFonts w:cs="Georgia"/>
          <w:b/>
          <w:szCs w:val="20"/>
        </w:rPr>
      </w:pPr>
      <w:r w:rsidRPr="004D36BE">
        <w:rPr>
          <w:rFonts w:cs="Georgia"/>
          <w:b/>
          <w:szCs w:val="20"/>
        </w:rPr>
        <w:t>Notes to Editors</w:t>
      </w:r>
    </w:p>
    <w:p w:rsidR="00260189" w:rsidRDefault="00260189" w:rsidP="00A73A7B">
      <w:pPr>
        <w:autoSpaceDE w:val="0"/>
        <w:autoSpaceDN w:val="0"/>
        <w:adjustRightInd w:val="0"/>
        <w:spacing w:line="240" w:lineRule="auto"/>
        <w:rPr>
          <w:rFonts w:cs="Verdana"/>
          <w:b/>
          <w:bCs/>
          <w:color w:val="000000"/>
          <w:szCs w:val="20"/>
          <w:lang w:eastAsia="zh-CN"/>
        </w:rPr>
      </w:pPr>
    </w:p>
    <w:p w:rsidR="003B093D" w:rsidRDefault="003B093D" w:rsidP="00A73A7B">
      <w:pPr>
        <w:autoSpaceDE w:val="0"/>
        <w:autoSpaceDN w:val="0"/>
        <w:adjustRightInd w:val="0"/>
        <w:spacing w:line="240" w:lineRule="auto"/>
        <w:rPr>
          <w:rFonts w:cs="Verdana"/>
          <w:bCs/>
          <w:color w:val="000000"/>
          <w:szCs w:val="20"/>
          <w:lang w:eastAsia="zh-CN"/>
        </w:rPr>
      </w:pPr>
      <w:r w:rsidRPr="003B093D">
        <w:rPr>
          <w:rFonts w:cs="Verdana"/>
          <w:bCs/>
          <w:color w:val="000000"/>
          <w:szCs w:val="20"/>
          <w:lang w:eastAsia="zh-CN"/>
        </w:rPr>
        <w:t xml:space="preserve">To download a copy of </w:t>
      </w:r>
      <w:r w:rsidR="00A770BD" w:rsidRPr="00A770BD">
        <w:rPr>
          <w:rFonts w:cs="Verdana"/>
          <w:bCs/>
          <w:i/>
          <w:color w:val="000000"/>
          <w:szCs w:val="20"/>
          <w:lang w:eastAsia="zh-CN"/>
        </w:rPr>
        <w:t>Passing the stress test</w:t>
      </w:r>
      <w:r>
        <w:rPr>
          <w:rFonts w:cs="Verdana"/>
          <w:bCs/>
          <w:color w:val="000000"/>
          <w:szCs w:val="20"/>
          <w:lang w:eastAsia="zh-CN"/>
        </w:rPr>
        <w:t>,</w:t>
      </w:r>
      <w:r w:rsidR="00956AD3">
        <w:rPr>
          <w:rFonts w:cs="Verdana"/>
          <w:bCs/>
          <w:color w:val="000000"/>
          <w:szCs w:val="20"/>
          <w:lang w:eastAsia="zh-CN"/>
        </w:rPr>
        <w:t xml:space="preserve"> please visit www.pwc.co.uk</w:t>
      </w:r>
    </w:p>
    <w:p w:rsidR="003B093D" w:rsidRDefault="003B093D" w:rsidP="00A73A7B">
      <w:pPr>
        <w:autoSpaceDE w:val="0"/>
        <w:autoSpaceDN w:val="0"/>
        <w:adjustRightInd w:val="0"/>
        <w:spacing w:line="240" w:lineRule="auto"/>
        <w:rPr>
          <w:rFonts w:cs="Verdana"/>
          <w:b/>
          <w:bCs/>
          <w:color w:val="000000"/>
          <w:szCs w:val="20"/>
          <w:lang w:eastAsia="zh-CN"/>
        </w:rPr>
      </w:pPr>
    </w:p>
    <w:p w:rsidR="00297616" w:rsidRPr="004D36BE" w:rsidRDefault="00864309" w:rsidP="00A73A7B">
      <w:pPr>
        <w:autoSpaceDE w:val="0"/>
        <w:autoSpaceDN w:val="0"/>
        <w:adjustRightInd w:val="0"/>
        <w:spacing w:line="240" w:lineRule="auto"/>
        <w:rPr>
          <w:rFonts w:cs="Verdana"/>
          <w:b/>
          <w:bCs/>
          <w:color w:val="000000"/>
          <w:szCs w:val="20"/>
          <w:lang w:eastAsia="zh-CN"/>
        </w:rPr>
      </w:pPr>
      <w:r w:rsidRPr="004D36BE">
        <w:rPr>
          <w:rFonts w:cs="Verdana"/>
          <w:b/>
          <w:bCs/>
          <w:color w:val="000000"/>
          <w:szCs w:val="20"/>
          <w:lang w:eastAsia="zh-CN"/>
        </w:rPr>
        <w:t>About PwC</w:t>
      </w:r>
    </w:p>
    <w:p w:rsidR="00E70ADC" w:rsidRPr="00E70ADC" w:rsidRDefault="00E70ADC" w:rsidP="00A73A7B">
      <w:pPr>
        <w:tabs>
          <w:tab w:val="left" w:pos="6615"/>
        </w:tabs>
        <w:spacing w:line="240" w:lineRule="auto"/>
        <w:rPr>
          <w:rFonts w:cs="Helv"/>
          <w:szCs w:val="20"/>
          <w:lang w:eastAsia="en-GB"/>
        </w:rPr>
      </w:pPr>
      <w:r w:rsidRPr="00E70ADC">
        <w:rPr>
          <w:rFonts w:cs="Helv"/>
          <w:szCs w:val="20"/>
          <w:lang w:eastAsia="en-GB"/>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www.pwc.com.</w:t>
      </w:r>
    </w:p>
    <w:p w:rsidR="00E70ADC" w:rsidRPr="00E70ADC" w:rsidRDefault="00E70ADC" w:rsidP="00A73A7B">
      <w:pPr>
        <w:tabs>
          <w:tab w:val="left" w:pos="6615"/>
        </w:tabs>
        <w:spacing w:line="240" w:lineRule="auto"/>
        <w:rPr>
          <w:rFonts w:cs="Helv"/>
          <w:szCs w:val="20"/>
          <w:lang w:eastAsia="en-GB"/>
        </w:rPr>
      </w:pPr>
    </w:p>
    <w:p w:rsidR="00E70ADC" w:rsidRPr="00E70ADC" w:rsidRDefault="00A770BD" w:rsidP="00A73A7B">
      <w:pPr>
        <w:tabs>
          <w:tab w:val="left" w:pos="6615"/>
        </w:tabs>
        <w:spacing w:line="240" w:lineRule="auto"/>
        <w:rPr>
          <w:rFonts w:cs="Helv"/>
          <w:szCs w:val="20"/>
          <w:lang w:eastAsia="en-GB"/>
        </w:rPr>
      </w:pPr>
      <w:r>
        <w:rPr>
          <w:rFonts w:cs="Helv"/>
          <w:szCs w:val="20"/>
          <w:lang w:eastAsia="en-GB"/>
        </w:rPr>
        <w:t>© 2014</w:t>
      </w:r>
      <w:r w:rsidR="00E70ADC" w:rsidRPr="00E70ADC">
        <w:rPr>
          <w:rFonts w:cs="Helv"/>
          <w:szCs w:val="20"/>
          <w:lang w:eastAsia="en-GB"/>
        </w:rPr>
        <w:t xml:space="preserve"> PwC. All rights reserved</w:t>
      </w:r>
    </w:p>
    <w:p w:rsidR="00E70ADC" w:rsidRPr="00E70ADC" w:rsidRDefault="00E70ADC" w:rsidP="00A73A7B">
      <w:pPr>
        <w:tabs>
          <w:tab w:val="left" w:pos="6615"/>
        </w:tabs>
        <w:spacing w:line="240" w:lineRule="auto"/>
        <w:rPr>
          <w:rFonts w:cs="Helv"/>
          <w:szCs w:val="20"/>
          <w:lang w:eastAsia="en-GB"/>
        </w:rPr>
      </w:pPr>
    </w:p>
    <w:p w:rsidR="00297616" w:rsidRPr="004D36BE" w:rsidRDefault="00E70ADC" w:rsidP="00A73A7B">
      <w:pPr>
        <w:tabs>
          <w:tab w:val="left" w:pos="6615"/>
        </w:tabs>
        <w:spacing w:line="240" w:lineRule="auto"/>
        <w:rPr>
          <w:szCs w:val="20"/>
        </w:rPr>
      </w:pPr>
      <w:r w:rsidRPr="00E70ADC">
        <w:rPr>
          <w:rFonts w:cs="Helv"/>
          <w:szCs w:val="20"/>
          <w:lang w:eastAsia="en-GB"/>
        </w:rPr>
        <w:t>PwC refers to the PwC network and/or one or more of its member firms, each of which is a separate legal entity. Please see www.pwc.com/structure for further details.</w:t>
      </w:r>
    </w:p>
    <w:sectPr w:rsidR="00297616" w:rsidRPr="004D36BE" w:rsidSect="00297616">
      <w:headerReference w:type="even" r:id="rId10"/>
      <w:headerReference w:type="default" r:id="rId11"/>
      <w:footerReference w:type="even" r:id="rId12"/>
      <w:footerReference w:type="default" r:id="rId13"/>
      <w:headerReference w:type="first" r:id="rId14"/>
      <w:pgSz w:w="11907" w:h="16839" w:code="9"/>
      <w:pgMar w:top="2892" w:right="17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E0" w:rsidRDefault="00B20CE0">
      <w:pPr>
        <w:spacing w:line="240" w:lineRule="auto"/>
      </w:pPr>
      <w:r>
        <w:separator/>
      </w:r>
    </w:p>
  </w:endnote>
  <w:endnote w:type="continuationSeparator" w:id="0">
    <w:p w:rsidR="00B20CE0" w:rsidRDefault="00B2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864309">
      <w:rPr>
        <w:noProof/>
      </w:rPr>
      <w:t>2</w:t>
    </w:r>
    <w:r>
      <w:rPr>
        <w:noProof/>
      </w:rPr>
      <w:fldChar w:fldCharType="end"/>
    </w:r>
    <w:r w:rsidR="00864309">
      <w:t xml:space="preserve"> of </w:t>
    </w:r>
    <w:fldSimple w:instr=" NUMPAGES  \* MERGEFORMAT ">
      <w:r w:rsidR="00F17AE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A73A7B">
      <w:rPr>
        <w:noProof/>
      </w:rPr>
      <w:t>2</w:t>
    </w:r>
    <w:r>
      <w:rPr>
        <w:noProof/>
      </w:rPr>
      <w:fldChar w:fldCharType="end"/>
    </w:r>
    <w:r w:rsidR="00864309">
      <w:t xml:space="preserve"> of </w:t>
    </w:r>
    <w:fldSimple w:instr=" NUMPAGES  \* MERGEFORMAT ">
      <w:r w:rsidR="00A73A7B">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E0" w:rsidRDefault="00B20CE0">
      <w:pPr>
        <w:spacing w:line="240" w:lineRule="auto"/>
      </w:pPr>
      <w:r>
        <w:separator/>
      </w:r>
    </w:p>
  </w:footnote>
  <w:footnote w:type="continuationSeparator" w:id="0">
    <w:p w:rsidR="00B20CE0" w:rsidRDefault="00B20C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297616">
    <w:pPr>
      <w:pStyle w:val="Header"/>
    </w:pPr>
  </w:p>
  <w:p w:rsidR="00297616" w:rsidRDefault="0029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2D9D4"/>
    <w:lvl w:ilvl="0">
      <w:numFmt w:val="bullet"/>
      <w:lvlText w:val="*"/>
      <w:lvlJc w:val="left"/>
    </w:lvl>
  </w:abstractNum>
  <w:abstractNum w:abstractNumId="1">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6">
    <w:nsid w:val="308928F1"/>
    <w:multiLevelType w:val="hybridMultilevel"/>
    <w:tmpl w:val="2444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0CC1813"/>
    <w:multiLevelType w:val="multilevel"/>
    <w:tmpl w:val="6B8A01D6"/>
    <w:numStyleLink w:val="TableListNumber"/>
  </w:abstractNum>
  <w:abstractNum w:abstractNumId="9">
    <w:nsid w:val="538965F7"/>
    <w:multiLevelType w:val="hybridMultilevel"/>
    <w:tmpl w:val="18E67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11">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BF0F1D"/>
    <w:multiLevelType w:val="hybridMultilevel"/>
    <w:tmpl w:val="0374D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CF5842"/>
    <w:multiLevelType w:val="hybridMultilevel"/>
    <w:tmpl w:val="AB90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3"/>
  </w:num>
  <w:num w:numId="5">
    <w:abstractNumId w:val="7"/>
  </w:num>
  <w:num w:numId="6">
    <w:abstractNumId w:val="11"/>
  </w:num>
  <w:num w:numId="7">
    <w:abstractNumId w:val="10"/>
  </w:num>
  <w:num w:numId="8">
    <w:abstractNumId w:val="1"/>
  </w:num>
  <w:num w:numId="9">
    <w:abstractNumId w:val="9"/>
  </w:num>
  <w:num w:numId="10">
    <w:abstractNumId w:val="5"/>
  </w:num>
  <w:num w:numId="11">
    <w:abstractNumId w:val="8"/>
  </w:num>
  <w:num w:numId="12">
    <w:abstractNumId w:val="6"/>
  </w:num>
  <w:num w:numId="13">
    <w:abstractNumId w:val="12"/>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16"/>
    <w:rsid w:val="00000423"/>
    <w:rsid w:val="0003241F"/>
    <w:rsid w:val="00034C85"/>
    <w:rsid w:val="0004127B"/>
    <w:rsid w:val="0005114C"/>
    <w:rsid w:val="00057561"/>
    <w:rsid w:val="000665B8"/>
    <w:rsid w:val="00082723"/>
    <w:rsid w:val="000856D5"/>
    <w:rsid w:val="00096135"/>
    <w:rsid w:val="000A0AD8"/>
    <w:rsid w:val="000B1B95"/>
    <w:rsid w:val="000C13E7"/>
    <w:rsid w:val="000C288B"/>
    <w:rsid w:val="000F0866"/>
    <w:rsid w:val="000F4C67"/>
    <w:rsid w:val="001146C2"/>
    <w:rsid w:val="0011757A"/>
    <w:rsid w:val="00121654"/>
    <w:rsid w:val="00126849"/>
    <w:rsid w:val="001547CF"/>
    <w:rsid w:val="00154FE2"/>
    <w:rsid w:val="0016028B"/>
    <w:rsid w:val="00175E01"/>
    <w:rsid w:val="00197B2C"/>
    <w:rsid w:val="001A5241"/>
    <w:rsid w:val="001A7745"/>
    <w:rsid w:val="001C2276"/>
    <w:rsid w:val="001C4F1F"/>
    <w:rsid w:val="001C5E33"/>
    <w:rsid w:val="002002F3"/>
    <w:rsid w:val="0020371F"/>
    <w:rsid w:val="002060B8"/>
    <w:rsid w:val="00222E3E"/>
    <w:rsid w:val="002335D1"/>
    <w:rsid w:val="00245153"/>
    <w:rsid w:val="002553A2"/>
    <w:rsid w:val="00260189"/>
    <w:rsid w:val="00262FB8"/>
    <w:rsid w:val="00267A53"/>
    <w:rsid w:val="00277979"/>
    <w:rsid w:val="00282377"/>
    <w:rsid w:val="002823A0"/>
    <w:rsid w:val="00297616"/>
    <w:rsid w:val="002A11BC"/>
    <w:rsid w:val="002A5BA2"/>
    <w:rsid w:val="002B1880"/>
    <w:rsid w:val="002E2BD4"/>
    <w:rsid w:val="003171CA"/>
    <w:rsid w:val="00352AE7"/>
    <w:rsid w:val="00374466"/>
    <w:rsid w:val="00385F82"/>
    <w:rsid w:val="003B093D"/>
    <w:rsid w:val="003D1B67"/>
    <w:rsid w:val="003E4C32"/>
    <w:rsid w:val="0043029F"/>
    <w:rsid w:val="004365C3"/>
    <w:rsid w:val="00437D3A"/>
    <w:rsid w:val="00446CE7"/>
    <w:rsid w:val="0045532E"/>
    <w:rsid w:val="00456932"/>
    <w:rsid w:val="00482032"/>
    <w:rsid w:val="0048739C"/>
    <w:rsid w:val="004B0CBD"/>
    <w:rsid w:val="004B3333"/>
    <w:rsid w:val="004B4AF9"/>
    <w:rsid w:val="004D36BE"/>
    <w:rsid w:val="004F0A1B"/>
    <w:rsid w:val="0050759E"/>
    <w:rsid w:val="005154C5"/>
    <w:rsid w:val="005204F6"/>
    <w:rsid w:val="005279D3"/>
    <w:rsid w:val="005543B0"/>
    <w:rsid w:val="00565D1F"/>
    <w:rsid w:val="00571706"/>
    <w:rsid w:val="00580B6C"/>
    <w:rsid w:val="00593039"/>
    <w:rsid w:val="005A69D4"/>
    <w:rsid w:val="005A7036"/>
    <w:rsid w:val="005B7F5A"/>
    <w:rsid w:val="005E5CFC"/>
    <w:rsid w:val="005E6081"/>
    <w:rsid w:val="00605F27"/>
    <w:rsid w:val="00610A9B"/>
    <w:rsid w:val="00634947"/>
    <w:rsid w:val="00655676"/>
    <w:rsid w:val="006561E8"/>
    <w:rsid w:val="006A364C"/>
    <w:rsid w:val="006E3D0D"/>
    <w:rsid w:val="006E4E6C"/>
    <w:rsid w:val="006E51EE"/>
    <w:rsid w:val="006E736F"/>
    <w:rsid w:val="006F58AA"/>
    <w:rsid w:val="00720F9A"/>
    <w:rsid w:val="0072590D"/>
    <w:rsid w:val="00726FF1"/>
    <w:rsid w:val="007423DE"/>
    <w:rsid w:val="007717C2"/>
    <w:rsid w:val="00780F9A"/>
    <w:rsid w:val="007A3CCD"/>
    <w:rsid w:val="007B4987"/>
    <w:rsid w:val="007B63CA"/>
    <w:rsid w:val="007B7E31"/>
    <w:rsid w:val="007C2381"/>
    <w:rsid w:val="007D5B96"/>
    <w:rsid w:val="0083540D"/>
    <w:rsid w:val="00841D96"/>
    <w:rsid w:val="008475D0"/>
    <w:rsid w:val="00850F2F"/>
    <w:rsid w:val="00853D7A"/>
    <w:rsid w:val="00861101"/>
    <w:rsid w:val="00862096"/>
    <w:rsid w:val="00864309"/>
    <w:rsid w:val="00867FA0"/>
    <w:rsid w:val="00870D9A"/>
    <w:rsid w:val="008809E9"/>
    <w:rsid w:val="00880E89"/>
    <w:rsid w:val="00884046"/>
    <w:rsid w:val="00897922"/>
    <w:rsid w:val="008A621F"/>
    <w:rsid w:val="008B0AE0"/>
    <w:rsid w:val="008B51E8"/>
    <w:rsid w:val="008C03CE"/>
    <w:rsid w:val="008D4731"/>
    <w:rsid w:val="008F727D"/>
    <w:rsid w:val="00902952"/>
    <w:rsid w:val="00906D5F"/>
    <w:rsid w:val="00914871"/>
    <w:rsid w:val="00927963"/>
    <w:rsid w:val="00956AD3"/>
    <w:rsid w:val="00987FC6"/>
    <w:rsid w:val="009F24CF"/>
    <w:rsid w:val="00A215DD"/>
    <w:rsid w:val="00A34FCD"/>
    <w:rsid w:val="00A41417"/>
    <w:rsid w:val="00A436D5"/>
    <w:rsid w:val="00A53F38"/>
    <w:rsid w:val="00A73A7B"/>
    <w:rsid w:val="00A770BD"/>
    <w:rsid w:val="00A832BF"/>
    <w:rsid w:val="00A931A0"/>
    <w:rsid w:val="00AA7A37"/>
    <w:rsid w:val="00AB284E"/>
    <w:rsid w:val="00AB551F"/>
    <w:rsid w:val="00AB691D"/>
    <w:rsid w:val="00AB71F1"/>
    <w:rsid w:val="00AE70CB"/>
    <w:rsid w:val="00B20CE0"/>
    <w:rsid w:val="00B2588E"/>
    <w:rsid w:val="00B359F3"/>
    <w:rsid w:val="00B45A7A"/>
    <w:rsid w:val="00B660FC"/>
    <w:rsid w:val="00B742DE"/>
    <w:rsid w:val="00BA0D61"/>
    <w:rsid w:val="00BC1FD6"/>
    <w:rsid w:val="00BF113C"/>
    <w:rsid w:val="00C33C2A"/>
    <w:rsid w:val="00C33CE7"/>
    <w:rsid w:val="00C5224C"/>
    <w:rsid w:val="00C57D4D"/>
    <w:rsid w:val="00C60DD7"/>
    <w:rsid w:val="00C672A8"/>
    <w:rsid w:val="00C77320"/>
    <w:rsid w:val="00CC0E66"/>
    <w:rsid w:val="00CC5F10"/>
    <w:rsid w:val="00CD7145"/>
    <w:rsid w:val="00CE246C"/>
    <w:rsid w:val="00CF1FEE"/>
    <w:rsid w:val="00CF2E32"/>
    <w:rsid w:val="00D00C86"/>
    <w:rsid w:val="00D03CF8"/>
    <w:rsid w:val="00D10337"/>
    <w:rsid w:val="00D118FA"/>
    <w:rsid w:val="00D16C65"/>
    <w:rsid w:val="00D43CFB"/>
    <w:rsid w:val="00D526C8"/>
    <w:rsid w:val="00D55D8C"/>
    <w:rsid w:val="00D6180E"/>
    <w:rsid w:val="00D635E7"/>
    <w:rsid w:val="00D64710"/>
    <w:rsid w:val="00DB7DE2"/>
    <w:rsid w:val="00DC2470"/>
    <w:rsid w:val="00DD5ECF"/>
    <w:rsid w:val="00DF13B6"/>
    <w:rsid w:val="00DF60C7"/>
    <w:rsid w:val="00E20C67"/>
    <w:rsid w:val="00E25F35"/>
    <w:rsid w:val="00E41CDF"/>
    <w:rsid w:val="00E454FC"/>
    <w:rsid w:val="00E70133"/>
    <w:rsid w:val="00E7095E"/>
    <w:rsid w:val="00E70ADC"/>
    <w:rsid w:val="00E81C99"/>
    <w:rsid w:val="00E87F57"/>
    <w:rsid w:val="00E921B9"/>
    <w:rsid w:val="00EB75D9"/>
    <w:rsid w:val="00EC0D33"/>
    <w:rsid w:val="00EC7B53"/>
    <w:rsid w:val="00ED0142"/>
    <w:rsid w:val="00EE5E34"/>
    <w:rsid w:val="00EF5A33"/>
    <w:rsid w:val="00F17AE6"/>
    <w:rsid w:val="00F413E3"/>
    <w:rsid w:val="00F56E7E"/>
    <w:rsid w:val="00F6709A"/>
    <w:rsid w:val="00F7709C"/>
    <w:rsid w:val="00F80A40"/>
    <w:rsid w:val="00F8782B"/>
    <w:rsid w:val="00F87DA2"/>
    <w:rsid w:val="00FA50D7"/>
    <w:rsid w:val="00FA7441"/>
    <w:rsid w:val="00FC2661"/>
    <w:rsid w:val="00FC5123"/>
    <w:rsid w:val="00FF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 w:type="paragraph" w:customStyle="1" w:styleId="Default">
    <w:name w:val="Default"/>
    <w:rsid w:val="005A7036"/>
    <w:pPr>
      <w:autoSpaceDE w:val="0"/>
      <w:autoSpaceDN w:val="0"/>
      <w:adjustRightInd w:val="0"/>
    </w:pPr>
    <w:rPr>
      <w:rFonts w:ascii="Georgia" w:hAnsi="Georgia" w:cs="Georg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lary.n.downes@uk.pw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0499-1E2D-4519-BF18-AE2F7188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3966</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2013-11-27T17:59:00Z</cp:lastPrinted>
  <dcterms:created xsi:type="dcterms:W3CDTF">2014-01-29T21:49:00Z</dcterms:created>
  <dcterms:modified xsi:type="dcterms:W3CDTF">2014-01-29T21:49:00Z</dcterms:modified>
</cp:coreProperties>
</file>