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36" w:rsidRPr="00993039" w:rsidRDefault="00D81336"/>
    <w:p w:rsidR="00D81336" w:rsidRPr="00993039" w:rsidRDefault="00A77FF6">
      <w:pPr>
        <w:pStyle w:val="Title"/>
        <w:rPr>
          <w:rFonts w:ascii="Georgia" w:hAnsi="Georgia"/>
        </w:rPr>
      </w:pPr>
      <w:r w:rsidRPr="00993039">
        <w:rPr>
          <w:rFonts w:ascii="Georgia" w:hAnsi="Georgia"/>
        </w:rPr>
        <w:t>News release</w:t>
      </w:r>
    </w:p>
    <w:tbl>
      <w:tblPr>
        <w:tblW w:w="0" w:type="auto"/>
        <w:tblLayout w:type="fixed"/>
        <w:tblLook w:val="0000" w:firstRow="0" w:lastRow="0" w:firstColumn="0" w:lastColumn="0" w:noHBand="0" w:noVBand="0"/>
      </w:tblPr>
      <w:tblGrid>
        <w:gridCol w:w="2268"/>
        <w:gridCol w:w="4645"/>
      </w:tblGrid>
      <w:tr w:rsidR="00D81336" w:rsidRPr="00993039">
        <w:tc>
          <w:tcPr>
            <w:tcW w:w="2268" w:type="dxa"/>
          </w:tcPr>
          <w:p w:rsidR="00D81336" w:rsidRPr="00993039" w:rsidRDefault="00A77FF6">
            <w:pPr>
              <w:rPr>
                <w:i/>
              </w:rPr>
            </w:pPr>
            <w:r w:rsidRPr="00993039">
              <w:rPr>
                <w:i/>
              </w:rPr>
              <w:t>Date</w:t>
            </w:r>
          </w:p>
        </w:tc>
        <w:tc>
          <w:tcPr>
            <w:tcW w:w="4645" w:type="dxa"/>
          </w:tcPr>
          <w:p w:rsidR="00D81336" w:rsidRPr="00993039" w:rsidRDefault="00702378">
            <w:r>
              <w:t xml:space="preserve">27 </w:t>
            </w:r>
            <w:r w:rsidR="005D365B">
              <w:t>January</w:t>
            </w:r>
            <w:r w:rsidR="00D207B0" w:rsidRPr="00993039">
              <w:t xml:space="preserve"> 201</w:t>
            </w:r>
            <w:r w:rsidR="005D365B">
              <w:t>4</w:t>
            </w:r>
            <w:r w:rsidR="00E76F1E">
              <w:t xml:space="preserve"> @00.01 EST</w:t>
            </w:r>
          </w:p>
          <w:p w:rsidR="00D81336" w:rsidRPr="00993039" w:rsidRDefault="00D81336"/>
        </w:tc>
      </w:tr>
      <w:tr w:rsidR="00D81336" w:rsidRPr="00FC338F">
        <w:tc>
          <w:tcPr>
            <w:tcW w:w="2268" w:type="dxa"/>
          </w:tcPr>
          <w:p w:rsidR="00D81336" w:rsidRPr="00993039" w:rsidRDefault="00A77FF6">
            <w:pPr>
              <w:rPr>
                <w:i/>
              </w:rPr>
            </w:pPr>
            <w:r w:rsidRPr="00993039">
              <w:rPr>
                <w:i/>
              </w:rPr>
              <w:t>Contact</w:t>
            </w:r>
          </w:p>
        </w:tc>
        <w:tc>
          <w:tcPr>
            <w:tcW w:w="4645" w:type="dxa"/>
          </w:tcPr>
          <w:p w:rsidR="00D81336" w:rsidRPr="00FC338F" w:rsidRDefault="00104713">
            <w:pPr>
              <w:tabs>
                <w:tab w:val="left" w:pos="1440"/>
              </w:tabs>
              <w:ind w:left="1440" w:hanging="1440"/>
              <w:rPr>
                <w:rFonts w:cs="Arial"/>
                <w:color w:val="000000"/>
              </w:rPr>
            </w:pPr>
            <w:r w:rsidRPr="00FC338F">
              <w:rPr>
                <w:rFonts w:cs="Arial"/>
                <w:b/>
                <w:bCs/>
                <w:color w:val="000000"/>
              </w:rPr>
              <w:t>Alayna Francis</w:t>
            </w:r>
          </w:p>
          <w:p w:rsidR="00D81336" w:rsidRPr="00FC338F" w:rsidRDefault="00A77FF6">
            <w:pPr>
              <w:tabs>
                <w:tab w:val="left" w:pos="1440"/>
              </w:tabs>
              <w:ind w:left="1440" w:hanging="1440"/>
              <w:rPr>
                <w:rFonts w:cs="Arial"/>
                <w:color w:val="000000"/>
              </w:rPr>
            </w:pPr>
            <w:r w:rsidRPr="00FC338F">
              <w:rPr>
                <w:rFonts w:cs="Arial"/>
                <w:color w:val="000000"/>
              </w:rPr>
              <w:t xml:space="preserve">Tel: </w:t>
            </w:r>
            <w:r w:rsidR="00104713" w:rsidRPr="00FC338F">
              <w:rPr>
                <w:rFonts w:cs="Arial"/>
                <w:color w:val="000000"/>
              </w:rPr>
              <w:t>+1 646-471-4039</w:t>
            </w:r>
          </w:p>
          <w:p w:rsidR="00D81336" w:rsidRPr="00FC338F" w:rsidRDefault="001E7D34" w:rsidP="001E7D34">
            <w:pPr>
              <w:tabs>
                <w:tab w:val="left" w:pos="1440"/>
              </w:tabs>
              <w:ind w:left="1440" w:hanging="1440"/>
              <w:rPr>
                <w:rFonts w:cs="Arial"/>
                <w:color w:val="000000"/>
              </w:rPr>
            </w:pPr>
            <w:r w:rsidRPr="00FC338F">
              <w:rPr>
                <w:rFonts w:cs="Arial"/>
                <w:color w:val="000000"/>
              </w:rPr>
              <w:t>E</w:t>
            </w:r>
            <w:r w:rsidR="00A77FF6" w:rsidRPr="00FC338F">
              <w:rPr>
                <w:rFonts w:cs="Arial"/>
                <w:color w:val="000000"/>
              </w:rPr>
              <w:t xml:space="preserve">-mail: </w:t>
            </w:r>
            <w:r w:rsidR="00104713" w:rsidRPr="00FC338F">
              <w:rPr>
                <w:rFonts w:cs="Arial"/>
                <w:color w:val="000000"/>
              </w:rPr>
              <w:t>alayna.francis@us.pwc.com</w:t>
            </w:r>
          </w:p>
        </w:tc>
        <w:bookmarkStart w:id="0" w:name="_GoBack"/>
        <w:bookmarkEnd w:id="0"/>
      </w:tr>
      <w:tr w:rsidR="00D81336" w:rsidRPr="00FC338F">
        <w:tc>
          <w:tcPr>
            <w:tcW w:w="2268" w:type="dxa"/>
          </w:tcPr>
          <w:p w:rsidR="00D81336" w:rsidRPr="00FC338F" w:rsidRDefault="00D81336">
            <w:pPr>
              <w:rPr>
                <w:i/>
              </w:rPr>
            </w:pPr>
          </w:p>
          <w:p w:rsidR="00D81336" w:rsidRPr="00993039" w:rsidRDefault="00A77FF6">
            <w:pPr>
              <w:rPr>
                <w:i/>
              </w:rPr>
            </w:pPr>
            <w:r w:rsidRPr="00993039">
              <w:rPr>
                <w:i/>
              </w:rPr>
              <w:t xml:space="preserve">Pages </w:t>
            </w:r>
          </w:p>
        </w:tc>
        <w:tc>
          <w:tcPr>
            <w:tcW w:w="4645" w:type="dxa"/>
          </w:tcPr>
          <w:p w:rsidR="00D81336" w:rsidRPr="00FC338F" w:rsidRDefault="00D81336"/>
          <w:p w:rsidR="00D81336" w:rsidRDefault="00E82F4D">
            <w:r>
              <w:t>3</w:t>
            </w:r>
          </w:p>
          <w:p w:rsidR="00E76F1E" w:rsidRPr="00FC338F" w:rsidRDefault="00E76F1E"/>
        </w:tc>
      </w:tr>
    </w:tbl>
    <w:p w:rsidR="00D81336" w:rsidRPr="00FC338F" w:rsidRDefault="00D81336">
      <w:pPr>
        <w:pStyle w:val="Title"/>
        <w:rPr>
          <w:i w:val="0"/>
          <w:sz w:val="16"/>
          <w:szCs w:val="16"/>
        </w:rPr>
      </w:pPr>
    </w:p>
    <w:p w:rsidR="00BB6758" w:rsidRDefault="00F27911" w:rsidP="00503C92">
      <w:pPr>
        <w:jc w:val="center"/>
        <w:rPr>
          <w:b/>
          <w:sz w:val="28"/>
          <w:szCs w:val="28"/>
        </w:rPr>
      </w:pPr>
      <w:r>
        <w:rPr>
          <w:b/>
          <w:sz w:val="28"/>
          <w:szCs w:val="28"/>
        </w:rPr>
        <w:t xml:space="preserve">Leading TMT Innovators Cite Collaboration as </w:t>
      </w:r>
    </w:p>
    <w:p w:rsidR="003E78E5" w:rsidRDefault="00F27911" w:rsidP="00503C92">
      <w:pPr>
        <w:jc w:val="center"/>
        <w:rPr>
          <w:b/>
          <w:sz w:val="28"/>
          <w:szCs w:val="28"/>
        </w:rPr>
      </w:pPr>
      <w:r>
        <w:rPr>
          <w:b/>
          <w:sz w:val="28"/>
          <w:szCs w:val="28"/>
        </w:rPr>
        <w:t>Competitive Edge</w:t>
      </w:r>
    </w:p>
    <w:p w:rsidR="00255C91" w:rsidRDefault="00255C91" w:rsidP="00503C92">
      <w:pPr>
        <w:jc w:val="center"/>
        <w:rPr>
          <w:b/>
          <w:sz w:val="28"/>
          <w:szCs w:val="28"/>
        </w:rPr>
      </w:pPr>
    </w:p>
    <w:p w:rsidR="007B0511" w:rsidRDefault="007B0511" w:rsidP="007B0511">
      <w:pPr>
        <w:contextualSpacing/>
        <w:jc w:val="center"/>
        <w:rPr>
          <w:b/>
          <w:i/>
          <w:szCs w:val="20"/>
        </w:rPr>
      </w:pPr>
      <w:r>
        <w:rPr>
          <w:b/>
          <w:i/>
          <w:szCs w:val="20"/>
        </w:rPr>
        <w:t>Distinct Differences at Top 20% Most Innovative TMT companies:</w:t>
      </w:r>
    </w:p>
    <w:p w:rsidR="00503C92" w:rsidRDefault="00DE67CF" w:rsidP="00503C92">
      <w:pPr>
        <w:contextualSpacing/>
        <w:jc w:val="center"/>
        <w:rPr>
          <w:b/>
          <w:i/>
          <w:szCs w:val="20"/>
        </w:rPr>
      </w:pPr>
      <w:r w:rsidRPr="002265FB">
        <w:rPr>
          <w:b/>
          <w:i/>
          <w:szCs w:val="20"/>
        </w:rPr>
        <w:t>Intelligent Risk Taking</w:t>
      </w:r>
      <w:r w:rsidR="00F27911" w:rsidRPr="002265FB">
        <w:rPr>
          <w:b/>
          <w:i/>
          <w:szCs w:val="20"/>
        </w:rPr>
        <w:t>,</w:t>
      </w:r>
      <w:r w:rsidR="00622A9D" w:rsidRPr="002265FB">
        <w:rPr>
          <w:b/>
          <w:i/>
          <w:szCs w:val="20"/>
        </w:rPr>
        <w:t xml:space="preserve"> </w:t>
      </w:r>
      <w:r w:rsidR="001C3307">
        <w:rPr>
          <w:b/>
          <w:i/>
          <w:szCs w:val="20"/>
        </w:rPr>
        <w:t>Business Model Innovation</w:t>
      </w:r>
      <w:r w:rsidR="00F27911" w:rsidRPr="002265FB">
        <w:rPr>
          <w:b/>
          <w:i/>
          <w:szCs w:val="20"/>
        </w:rPr>
        <w:t xml:space="preserve">, </w:t>
      </w:r>
      <w:r w:rsidR="007B0511">
        <w:rPr>
          <w:b/>
          <w:i/>
          <w:szCs w:val="20"/>
        </w:rPr>
        <w:t xml:space="preserve">and </w:t>
      </w:r>
      <w:r w:rsidR="00F27911" w:rsidRPr="002265FB">
        <w:rPr>
          <w:b/>
          <w:i/>
          <w:szCs w:val="20"/>
        </w:rPr>
        <w:t xml:space="preserve">Collaboration </w:t>
      </w:r>
      <w:r w:rsidR="007B0511">
        <w:rPr>
          <w:b/>
          <w:i/>
          <w:szCs w:val="20"/>
        </w:rPr>
        <w:t>Translate into</w:t>
      </w:r>
      <w:r w:rsidR="00F27911" w:rsidRPr="002265FB">
        <w:rPr>
          <w:b/>
          <w:i/>
          <w:szCs w:val="20"/>
        </w:rPr>
        <w:t xml:space="preserve"> Significant Revenue and Market Share Gains </w:t>
      </w:r>
    </w:p>
    <w:p w:rsidR="00503C92" w:rsidRPr="002265FB" w:rsidRDefault="00503C92" w:rsidP="003E7169">
      <w:pPr>
        <w:rPr>
          <w:rFonts w:cs="Helv"/>
          <w:i/>
          <w:color w:val="000000"/>
          <w:szCs w:val="20"/>
        </w:rPr>
      </w:pPr>
    </w:p>
    <w:p w:rsidR="009C6C6F" w:rsidRDefault="00E76F1E" w:rsidP="001A166B">
      <w:pPr>
        <w:rPr>
          <w:szCs w:val="20"/>
        </w:rPr>
      </w:pPr>
      <w:r w:rsidRPr="00E76F1E">
        <w:rPr>
          <w:b/>
          <w:szCs w:val="20"/>
        </w:rPr>
        <w:t>New York, 27 Jan 2014</w:t>
      </w:r>
      <w:r>
        <w:rPr>
          <w:szCs w:val="20"/>
        </w:rPr>
        <w:noBreakHyphen/>
      </w:r>
      <w:r>
        <w:rPr>
          <w:szCs w:val="20"/>
        </w:rPr>
        <w:noBreakHyphen/>
      </w:r>
      <w:r w:rsidR="00AB7D21">
        <w:rPr>
          <w:szCs w:val="20"/>
        </w:rPr>
        <w:t xml:space="preserve">The most innovative 20% of </w:t>
      </w:r>
      <w:r w:rsidRPr="002265FB">
        <w:rPr>
          <w:szCs w:val="20"/>
        </w:rPr>
        <w:t>Technology, Media and Telecom (TMT)</w:t>
      </w:r>
      <w:r w:rsidR="00AB7D21">
        <w:rPr>
          <w:szCs w:val="20"/>
        </w:rPr>
        <w:t xml:space="preserve"> companies use </w:t>
      </w:r>
      <w:r w:rsidR="00AB7D21" w:rsidRPr="002265FB">
        <w:rPr>
          <w:szCs w:val="20"/>
        </w:rPr>
        <w:t xml:space="preserve">collaboration </w:t>
      </w:r>
      <w:r w:rsidR="00AB7D21">
        <w:rPr>
          <w:szCs w:val="20"/>
        </w:rPr>
        <w:t>in unique ways to</w:t>
      </w:r>
      <w:r w:rsidR="00AB7D21" w:rsidRPr="002265FB">
        <w:rPr>
          <w:szCs w:val="20"/>
        </w:rPr>
        <w:t xml:space="preserve"> gain</w:t>
      </w:r>
      <w:r w:rsidR="00AB7D21">
        <w:rPr>
          <w:szCs w:val="20"/>
        </w:rPr>
        <w:t xml:space="preserve"> a</w:t>
      </w:r>
      <w:r w:rsidR="00AB7D21" w:rsidRPr="002265FB">
        <w:rPr>
          <w:szCs w:val="20"/>
        </w:rPr>
        <w:t xml:space="preserve"> competitive edge</w:t>
      </w:r>
      <w:r w:rsidR="00AB7D21">
        <w:rPr>
          <w:szCs w:val="20"/>
        </w:rPr>
        <w:t xml:space="preserve">, </w:t>
      </w:r>
      <w:r w:rsidR="00842EDD">
        <w:rPr>
          <w:szCs w:val="20"/>
        </w:rPr>
        <w:t xml:space="preserve">according to </w:t>
      </w:r>
      <w:r w:rsidR="00AB7D21">
        <w:rPr>
          <w:szCs w:val="20"/>
        </w:rPr>
        <w:t>t</w:t>
      </w:r>
      <w:r w:rsidR="007B0511">
        <w:rPr>
          <w:szCs w:val="20"/>
        </w:rPr>
        <w:t xml:space="preserve">he </w:t>
      </w:r>
      <w:r w:rsidR="00F27911" w:rsidRPr="002265FB">
        <w:rPr>
          <w:szCs w:val="20"/>
        </w:rPr>
        <w:t>most recent insta</w:t>
      </w:r>
      <w:r w:rsidR="00AB7D21">
        <w:rPr>
          <w:szCs w:val="20"/>
        </w:rPr>
        <w:t>l</w:t>
      </w:r>
      <w:r w:rsidR="00F27911" w:rsidRPr="002265FB">
        <w:rPr>
          <w:szCs w:val="20"/>
        </w:rPr>
        <w:t xml:space="preserve">ment of </w:t>
      </w:r>
      <w:r w:rsidR="007B0511">
        <w:rPr>
          <w:szCs w:val="20"/>
        </w:rPr>
        <w:t xml:space="preserve">PwC’s </w:t>
      </w:r>
      <w:r w:rsidR="00F27911" w:rsidRPr="002265FB">
        <w:rPr>
          <w:szCs w:val="20"/>
        </w:rPr>
        <w:t xml:space="preserve">global innovation </w:t>
      </w:r>
      <w:r w:rsidR="007B0511">
        <w:rPr>
          <w:szCs w:val="20"/>
        </w:rPr>
        <w:t xml:space="preserve">report series </w:t>
      </w:r>
      <w:r w:rsidR="00AB7D21">
        <w:rPr>
          <w:szCs w:val="20"/>
        </w:rPr>
        <w:t>for</w:t>
      </w:r>
      <w:r w:rsidR="00FB788A">
        <w:rPr>
          <w:szCs w:val="20"/>
        </w:rPr>
        <w:t xml:space="preserve"> </w:t>
      </w:r>
      <w:r w:rsidR="007B0511">
        <w:rPr>
          <w:szCs w:val="20"/>
        </w:rPr>
        <w:t xml:space="preserve">the </w:t>
      </w:r>
      <w:r w:rsidR="007B0511" w:rsidRPr="002265FB">
        <w:rPr>
          <w:szCs w:val="20"/>
        </w:rPr>
        <w:t>TMT</w:t>
      </w:r>
      <w:r w:rsidR="007B0511">
        <w:rPr>
          <w:szCs w:val="20"/>
        </w:rPr>
        <w:t xml:space="preserve"> industry</w:t>
      </w:r>
      <w:r w:rsidR="00AB7D21">
        <w:rPr>
          <w:szCs w:val="20"/>
        </w:rPr>
        <w:t>. The report,</w:t>
      </w:r>
      <w:r w:rsidR="00F27911" w:rsidRPr="002265FB">
        <w:rPr>
          <w:szCs w:val="20"/>
        </w:rPr>
        <w:t xml:space="preserve"> </w:t>
      </w:r>
      <w:r w:rsidR="003E3DE3" w:rsidRPr="003E3DE3">
        <w:rPr>
          <w:i/>
          <w:szCs w:val="20"/>
        </w:rPr>
        <w:t>“</w:t>
      </w:r>
      <w:r w:rsidR="003E3DE3" w:rsidRPr="003E3DE3">
        <w:rPr>
          <w:rFonts w:cs="Helv"/>
          <w:bCs/>
          <w:i/>
          <w:color w:val="000000"/>
          <w:szCs w:val="20"/>
          <w:lang w:val="en-US"/>
        </w:rPr>
        <w:t>Learning from innovation leaders</w:t>
      </w:r>
      <w:r w:rsidR="003E3DE3" w:rsidRPr="003E3DE3">
        <w:rPr>
          <w:rFonts w:cs="Helv"/>
          <w:i/>
          <w:color w:val="000000"/>
          <w:szCs w:val="20"/>
          <w:lang w:val="en-US"/>
        </w:rPr>
        <w:t>:</w:t>
      </w:r>
      <w:r w:rsidR="003E3DE3" w:rsidRPr="003E3DE3">
        <w:rPr>
          <w:rFonts w:cs="Helv"/>
          <w:bCs/>
          <w:i/>
          <w:color w:val="000000"/>
          <w:szCs w:val="20"/>
          <w:lang w:val="en-US"/>
        </w:rPr>
        <w:t xml:space="preserve"> Winning practices of the most successful Technology, Media, and Telecom innovators</w:t>
      </w:r>
      <w:r w:rsidR="003E3DE3" w:rsidRPr="003E3DE3">
        <w:rPr>
          <w:rFonts w:cs="Helv"/>
          <w:i/>
          <w:color w:val="000000"/>
          <w:szCs w:val="20"/>
          <w:lang w:val="en-US"/>
        </w:rPr>
        <w:t>"</w:t>
      </w:r>
      <w:r w:rsidR="00BB6758" w:rsidRPr="002265FB">
        <w:rPr>
          <w:szCs w:val="20"/>
        </w:rPr>
        <w:t xml:space="preserve">, </w:t>
      </w:r>
      <w:r w:rsidR="00BB6758">
        <w:rPr>
          <w:szCs w:val="20"/>
        </w:rPr>
        <w:t>showcases</w:t>
      </w:r>
      <w:r w:rsidR="00362E6A" w:rsidRPr="002265FB">
        <w:rPr>
          <w:szCs w:val="20"/>
        </w:rPr>
        <w:t xml:space="preserve"> the </w:t>
      </w:r>
      <w:r w:rsidR="007B041F" w:rsidRPr="002265FB">
        <w:rPr>
          <w:szCs w:val="20"/>
        </w:rPr>
        <w:t>strategic and operational decisions that leading TMT companies make about innovation, and how these choices translate into more favourable returns.</w:t>
      </w:r>
    </w:p>
    <w:p w:rsidR="002265FB" w:rsidRPr="002265FB" w:rsidRDefault="002265FB" w:rsidP="001A166B">
      <w:pPr>
        <w:rPr>
          <w:szCs w:val="20"/>
        </w:rPr>
      </w:pPr>
    </w:p>
    <w:p w:rsidR="003E7169" w:rsidRDefault="00073F6A" w:rsidP="004C70EC">
      <w:pPr>
        <w:rPr>
          <w:szCs w:val="20"/>
        </w:rPr>
      </w:pPr>
      <w:r w:rsidRPr="002265FB">
        <w:rPr>
          <w:szCs w:val="20"/>
        </w:rPr>
        <w:t>Dan DiFilippo</w:t>
      </w:r>
      <w:r w:rsidR="00672373" w:rsidRPr="002265FB">
        <w:rPr>
          <w:szCs w:val="20"/>
        </w:rPr>
        <w:t xml:space="preserve">, Global </w:t>
      </w:r>
      <w:r w:rsidRPr="002265FB">
        <w:rPr>
          <w:szCs w:val="20"/>
        </w:rPr>
        <w:t xml:space="preserve">TMT </w:t>
      </w:r>
      <w:r w:rsidR="00672373" w:rsidRPr="002265FB">
        <w:rPr>
          <w:szCs w:val="20"/>
        </w:rPr>
        <w:t>Leader, PwC,</w:t>
      </w:r>
      <w:r w:rsidR="00BB6758">
        <w:rPr>
          <w:szCs w:val="20"/>
        </w:rPr>
        <w:t xml:space="preserve"> </w:t>
      </w:r>
      <w:r w:rsidR="00672373" w:rsidRPr="002265FB">
        <w:rPr>
          <w:szCs w:val="20"/>
        </w:rPr>
        <w:t>said:</w:t>
      </w:r>
    </w:p>
    <w:p w:rsidR="00E76F1E" w:rsidRPr="002265FB" w:rsidRDefault="00E76F1E" w:rsidP="004C70EC">
      <w:pPr>
        <w:rPr>
          <w:szCs w:val="20"/>
        </w:rPr>
      </w:pPr>
    </w:p>
    <w:p w:rsidR="00D74C26" w:rsidRDefault="00ED4301" w:rsidP="004B740C">
      <w:pPr>
        <w:autoSpaceDE w:val="0"/>
        <w:autoSpaceDN w:val="0"/>
        <w:adjustRightInd w:val="0"/>
        <w:spacing w:line="240" w:lineRule="auto"/>
        <w:rPr>
          <w:szCs w:val="20"/>
        </w:rPr>
      </w:pPr>
      <w:r w:rsidRPr="002265FB">
        <w:rPr>
          <w:szCs w:val="20"/>
        </w:rPr>
        <w:t>“</w:t>
      </w:r>
      <w:r w:rsidR="00BC069C" w:rsidRPr="002265FB">
        <w:rPr>
          <w:szCs w:val="20"/>
        </w:rPr>
        <w:t>The top 20% most innovative TMT companies follow strikingly consistent patterns when it comes to finding the right mix of innovation</w:t>
      </w:r>
      <w:r w:rsidR="00103223" w:rsidRPr="002265FB">
        <w:rPr>
          <w:szCs w:val="20"/>
        </w:rPr>
        <w:t xml:space="preserve"> and</w:t>
      </w:r>
      <w:r w:rsidR="00BC069C" w:rsidRPr="002265FB">
        <w:rPr>
          <w:szCs w:val="20"/>
        </w:rPr>
        <w:t xml:space="preserve"> maintaining flexibility to </w:t>
      </w:r>
      <w:r w:rsidR="00103223" w:rsidRPr="002265FB">
        <w:rPr>
          <w:szCs w:val="20"/>
        </w:rPr>
        <w:t xml:space="preserve">incorporate innovation into their existing business model.  </w:t>
      </w:r>
    </w:p>
    <w:p w:rsidR="00D74C26" w:rsidRDefault="00D74C26" w:rsidP="004B740C">
      <w:pPr>
        <w:autoSpaceDE w:val="0"/>
        <w:autoSpaceDN w:val="0"/>
        <w:adjustRightInd w:val="0"/>
        <w:spacing w:line="240" w:lineRule="auto"/>
        <w:rPr>
          <w:szCs w:val="20"/>
        </w:rPr>
      </w:pPr>
    </w:p>
    <w:p w:rsidR="00F63E3D" w:rsidRPr="002265FB" w:rsidRDefault="00702378" w:rsidP="004B740C">
      <w:pPr>
        <w:autoSpaceDE w:val="0"/>
        <w:autoSpaceDN w:val="0"/>
        <w:adjustRightInd w:val="0"/>
        <w:spacing w:line="240" w:lineRule="auto"/>
        <w:rPr>
          <w:szCs w:val="20"/>
        </w:rPr>
      </w:pPr>
      <w:r>
        <w:rPr>
          <w:szCs w:val="20"/>
        </w:rPr>
        <w:t>“</w:t>
      </w:r>
      <w:r w:rsidR="00DE67CF" w:rsidRPr="002265FB">
        <w:rPr>
          <w:szCs w:val="20"/>
        </w:rPr>
        <w:t xml:space="preserve">Our research and analysis shows five main actions set innovators apart from others in the TMT sector – these traits result in </w:t>
      </w:r>
      <w:r w:rsidR="00BB6758">
        <w:rPr>
          <w:szCs w:val="20"/>
        </w:rPr>
        <w:t>opportunities for</w:t>
      </w:r>
      <w:r w:rsidR="00BB6758" w:rsidRPr="002265FB">
        <w:rPr>
          <w:szCs w:val="20"/>
        </w:rPr>
        <w:t xml:space="preserve"> </w:t>
      </w:r>
      <w:r w:rsidR="00DE67CF" w:rsidRPr="002265FB">
        <w:rPr>
          <w:szCs w:val="20"/>
        </w:rPr>
        <w:t xml:space="preserve">higher revenues and overall growth that others </w:t>
      </w:r>
      <w:r w:rsidR="00BB6758">
        <w:rPr>
          <w:szCs w:val="20"/>
        </w:rPr>
        <w:t xml:space="preserve">may </w:t>
      </w:r>
      <w:r w:rsidR="00DE67CF" w:rsidRPr="002265FB">
        <w:rPr>
          <w:szCs w:val="20"/>
        </w:rPr>
        <w:t>miss out on.</w:t>
      </w:r>
      <w:r w:rsidR="009C6C6F" w:rsidRPr="002265FB">
        <w:rPr>
          <w:szCs w:val="20"/>
        </w:rPr>
        <w:t>”</w:t>
      </w:r>
    </w:p>
    <w:p w:rsidR="007B041F" w:rsidRPr="002265FB" w:rsidRDefault="007B041F" w:rsidP="004B740C">
      <w:pPr>
        <w:autoSpaceDE w:val="0"/>
        <w:autoSpaceDN w:val="0"/>
        <w:adjustRightInd w:val="0"/>
        <w:spacing w:line="240" w:lineRule="auto"/>
        <w:rPr>
          <w:rFonts w:cs="Helv"/>
          <w:szCs w:val="20"/>
        </w:rPr>
      </w:pPr>
    </w:p>
    <w:p w:rsidR="007B041F" w:rsidRPr="002265FB" w:rsidRDefault="007B041F" w:rsidP="007B041F">
      <w:pPr>
        <w:rPr>
          <w:b/>
          <w:i/>
          <w:szCs w:val="20"/>
        </w:rPr>
      </w:pPr>
      <w:r w:rsidRPr="002265FB">
        <w:rPr>
          <w:b/>
          <w:i/>
          <w:szCs w:val="20"/>
        </w:rPr>
        <w:t>Anatomy of the “Innovation Decathlete”</w:t>
      </w:r>
    </w:p>
    <w:p w:rsidR="007B041F" w:rsidRDefault="007B041F" w:rsidP="007B041F">
      <w:pPr>
        <w:rPr>
          <w:szCs w:val="20"/>
        </w:rPr>
      </w:pPr>
      <w:r w:rsidRPr="002265FB">
        <w:rPr>
          <w:szCs w:val="20"/>
        </w:rPr>
        <w:t xml:space="preserve">The </w:t>
      </w:r>
      <w:r w:rsidR="00AB7D21">
        <w:rPr>
          <w:szCs w:val="20"/>
        </w:rPr>
        <w:t xml:space="preserve">top </w:t>
      </w:r>
      <w:r w:rsidRPr="002265FB">
        <w:rPr>
          <w:szCs w:val="20"/>
        </w:rPr>
        <w:t xml:space="preserve">20% </w:t>
      </w:r>
      <w:r w:rsidR="00AB7D21">
        <w:rPr>
          <w:szCs w:val="20"/>
        </w:rPr>
        <w:t>of</w:t>
      </w:r>
      <w:r w:rsidRPr="002265FB">
        <w:rPr>
          <w:szCs w:val="20"/>
        </w:rPr>
        <w:t xml:space="preserve"> innovative companies are referred to </w:t>
      </w:r>
      <w:r w:rsidR="00AB7D21">
        <w:rPr>
          <w:szCs w:val="20"/>
        </w:rPr>
        <w:t xml:space="preserve">in </w:t>
      </w:r>
      <w:r w:rsidR="00AB7D21" w:rsidRPr="002265FB">
        <w:rPr>
          <w:szCs w:val="20"/>
        </w:rPr>
        <w:t xml:space="preserve">the report </w:t>
      </w:r>
      <w:r w:rsidRPr="002265FB">
        <w:rPr>
          <w:szCs w:val="20"/>
        </w:rPr>
        <w:t xml:space="preserve">as “Innovation Decathletes,” who excel at multiple innovation disciplines.  The top five areas include: </w:t>
      </w:r>
    </w:p>
    <w:p w:rsidR="00E76F1E" w:rsidRDefault="00E76F1E" w:rsidP="007B041F">
      <w:pPr>
        <w:rPr>
          <w:szCs w:val="20"/>
        </w:rPr>
      </w:pPr>
    </w:p>
    <w:p w:rsidR="007B041F" w:rsidRPr="002265FB" w:rsidRDefault="007B041F" w:rsidP="007B041F">
      <w:pPr>
        <w:pStyle w:val="ListParagraph"/>
        <w:numPr>
          <w:ilvl w:val="0"/>
          <w:numId w:val="29"/>
        </w:numPr>
        <w:rPr>
          <w:szCs w:val="20"/>
        </w:rPr>
      </w:pPr>
      <w:r w:rsidRPr="002265FB">
        <w:rPr>
          <w:szCs w:val="20"/>
        </w:rPr>
        <w:t>Intelligent risk-taking: a greater focus on breakthrough and radical innovation</w:t>
      </w:r>
    </w:p>
    <w:p w:rsidR="007B041F" w:rsidRPr="002265FB" w:rsidRDefault="007B041F" w:rsidP="007B041F">
      <w:pPr>
        <w:pStyle w:val="ListParagraph"/>
        <w:numPr>
          <w:ilvl w:val="0"/>
          <w:numId w:val="29"/>
        </w:numPr>
        <w:rPr>
          <w:szCs w:val="20"/>
        </w:rPr>
      </w:pPr>
      <w:r w:rsidRPr="002265FB">
        <w:rPr>
          <w:szCs w:val="20"/>
        </w:rPr>
        <w:t xml:space="preserve">Versatility: ability to innovate </w:t>
      </w:r>
      <w:r w:rsidR="00842EDD">
        <w:rPr>
          <w:szCs w:val="20"/>
        </w:rPr>
        <w:t xml:space="preserve">the </w:t>
      </w:r>
      <w:r w:rsidRPr="002265FB">
        <w:rPr>
          <w:szCs w:val="20"/>
        </w:rPr>
        <w:t>business model</w:t>
      </w:r>
    </w:p>
    <w:p w:rsidR="007B041F" w:rsidRPr="002265FB" w:rsidRDefault="007B041F" w:rsidP="007B041F">
      <w:pPr>
        <w:pStyle w:val="ListParagraph"/>
        <w:numPr>
          <w:ilvl w:val="0"/>
          <w:numId w:val="29"/>
        </w:numPr>
        <w:rPr>
          <w:szCs w:val="20"/>
        </w:rPr>
      </w:pPr>
      <w:r w:rsidRPr="002265FB">
        <w:rPr>
          <w:szCs w:val="20"/>
        </w:rPr>
        <w:t>Game plan: coordinated, orchestrated innovation structures</w:t>
      </w:r>
    </w:p>
    <w:p w:rsidR="007B041F" w:rsidRPr="002265FB" w:rsidRDefault="007B041F" w:rsidP="007B041F">
      <w:pPr>
        <w:pStyle w:val="ListParagraph"/>
        <w:numPr>
          <w:ilvl w:val="0"/>
          <w:numId w:val="29"/>
        </w:numPr>
        <w:rPr>
          <w:szCs w:val="20"/>
        </w:rPr>
      </w:pPr>
      <w:r w:rsidRPr="002265FB">
        <w:rPr>
          <w:szCs w:val="20"/>
        </w:rPr>
        <w:t>Endurance: a long-term vision embracing new innovation operating models</w:t>
      </w:r>
    </w:p>
    <w:p w:rsidR="007B041F" w:rsidRPr="002265FB" w:rsidRDefault="007B041F" w:rsidP="007B041F">
      <w:pPr>
        <w:pStyle w:val="ListParagraph"/>
        <w:numPr>
          <w:ilvl w:val="0"/>
          <w:numId w:val="29"/>
        </w:numPr>
        <w:rPr>
          <w:szCs w:val="20"/>
        </w:rPr>
      </w:pPr>
      <w:r w:rsidRPr="002265FB">
        <w:rPr>
          <w:szCs w:val="20"/>
        </w:rPr>
        <w:t>Collaboration: more frequent partnering internally and externally</w:t>
      </w:r>
    </w:p>
    <w:p w:rsidR="00234BFB" w:rsidRPr="002265FB" w:rsidRDefault="00234BFB" w:rsidP="004C70EC">
      <w:pPr>
        <w:rPr>
          <w:rFonts w:cs="Helv"/>
          <w:szCs w:val="20"/>
        </w:rPr>
      </w:pPr>
    </w:p>
    <w:p w:rsidR="00F37E8D" w:rsidRPr="002265FB" w:rsidRDefault="003E3DE3" w:rsidP="004C70EC">
      <w:pPr>
        <w:rPr>
          <w:szCs w:val="20"/>
        </w:rPr>
      </w:pPr>
      <w:r w:rsidRPr="003E3DE3">
        <w:rPr>
          <w:rFonts w:cs="Helv"/>
          <w:bCs/>
          <w:i/>
          <w:color w:val="000000"/>
          <w:szCs w:val="20"/>
          <w:lang w:val="en-US"/>
        </w:rPr>
        <w:lastRenderedPageBreak/>
        <w:t>Learning from innovation leaders</w:t>
      </w:r>
      <w:r w:rsidRPr="002265FB" w:rsidDel="003E3DE3">
        <w:rPr>
          <w:i/>
          <w:szCs w:val="20"/>
        </w:rPr>
        <w:t xml:space="preserve"> </w:t>
      </w:r>
      <w:r w:rsidR="00C056AB">
        <w:rPr>
          <w:szCs w:val="20"/>
        </w:rPr>
        <w:t>indicates that r</w:t>
      </w:r>
      <w:r w:rsidR="00F37E8D" w:rsidRPr="002265FB">
        <w:rPr>
          <w:szCs w:val="20"/>
        </w:rPr>
        <w:t>adical and breakthrough innovation comprise</w:t>
      </w:r>
      <w:r w:rsidR="00702378">
        <w:rPr>
          <w:szCs w:val="20"/>
        </w:rPr>
        <w:t>s</w:t>
      </w:r>
      <w:r w:rsidR="00F37E8D" w:rsidRPr="002265FB">
        <w:rPr>
          <w:szCs w:val="20"/>
        </w:rPr>
        <w:t xml:space="preserve"> about 30% and 45% </w:t>
      </w:r>
      <w:r w:rsidR="00702378">
        <w:rPr>
          <w:szCs w:val="20"/>
        </w:rPr>
        <w:t xml:space="preserve">respectively, </w:t>
      </w:r>
      <w:r w:rsidR="00F37E8D" w:rsidRPr="002265FB">
        <w:rPr>
          <w:szCs w:val="20"/>
        </w:rPr>
        <w:t>of t</w:t>
      </w:r>
      <w:r w:rsidR="00DE67CF" w:rsidRPr="002265FB">
        <w:rPr>
          <w:szCs w:val="20"/>
        </w:rPr>
        <w:t>ypical TMT companies’ portfolio of innovation efforts</w:t>
      </w:r>
      <w:r w:rsidR="001C3307">
        <w:rPr>
          <w:szCs w:val="20"/>
        </w:rPr>
        <w:t>, with the majority of efforts focused on incremental product line innovation</w:t>
      </w:r>
      <w:r w:rsidR="00F37E8D" w:rsidRPr="002265FB">
        <w:rPr>
          <w:szCs w:val="20"/>
        </w:rPr>
        <w:t xml:space="preserve">. But top TMT innovators allocate between 45% and 65% </w:t>
      </w:r>
      <w:r w:rsidR="001C3307">
        <w:rPr>
          <w:szCs w:val="20"/>
        </w:rPr>
        <w:t xml:space="preserve">of their portfolio </w:t>
      </w:r>
      <w:r w:rsidR="00F37E8D" w:rsidRPr="002265FB">
        <w:rPr>
          <w:szCs w:val="20"/>
        </w:rPr>
        <w:t xml:space="preserve">to radical and breakthrough innovation. By </w:t>
      </w:r>
      <w:r w:rsidR="001C3307" w:rsidRPr="002265FB">
        <w:rPr>
          <w:szCs w:val="20"/>
        </w:rPr>
        <w:t>deliberat</w:t>
      </w:r>
      <w:r w:rsidR="001C3307">
        <w:rPr>
          <w:szCs w:val="20"/>
        </w:rPr>
        <w:t xml:space="preserve">ely </w:t>
      </w:r>
      <w:r w:rsidR="00F37E8D" w:rsidRPr="002265FB">
        <w:rPr>
          <w:szCs w:val="20"/>
        </w:rPr>
        <w:t xml:space="preserve">taking intelligent risks, TMT innovators </w:t>
      </w:r>
      <w:r w:rsidR="001E6BE9">
        <w:rPr>
          <w:szCs w:val="20"/>
        </w:rPr>
        <w:t xml:space="preserve">find </w:t>
      </w:r>
      <w:r w:rsidR="00F37E8D" w:rsidRPr="002265FB">
        <w:rPr>
          <w:szCs w:val="20"/>
        </w:rPr>
        <w:t>that this kind of innovation portfolio allocation, though more risky, is more likely to lead to competitive advantage and increased revenue or market share.</w:t>
      </w:r>
    </w:p>
    <w:p w:rsidR="002E55E0" w:rsidRPr="00453AB1" w:rsidRDefault="002E55E0" w:rsidP="008B6A67">
      <w:pPr>
        <w:autoSpaceDE w:val="0"/>
        <w:autoSpaceDN w:val="0"/>
        <w:adjustRightInd w:val="0"/>
        <w:spacing w:line="240" w:lineRule="auto"/>
        <w:rPr>
          <w:szCs w:val="20"/>
        </w:rPr>
      </w:pPr>
    </w:p>
    <w:p w:rsidR="00017ED5" w:rsidRDefault="00073F6A" w:rsidP="00017ED5">
      <w:pPr>
        <w:rPr>
          <w:szCs w:val="20"/>
        </w:rPr>
      </w:pPr>
      <w:r w:rsidRPr="00453AB1">
        <w:rPr>
          <w:szCs w:val="20"/>
        </w:rPr>
        <w:t>Raman Chitkara</w:t>
      </w:r>
      <w:r w:rsidR="00017ED5" w:rsidRPr="00453AB1">
        <w:rPr>
          <w:szCs w:val="20"/>
        </w:rPr>
        <w:t xml:space="preserve">, </w:t>
      </w:r>
      <w:r w:rsidRPr="00453AB1">
        <w:rPr>
          <w:szCs w:val="20"/>
        </w:rPr>
        <w:t>Global Technology Industry Leader</w:t>
      </w:r>
      <w:r w:rsidR="00017ED5" w:rsidRPr="00453AB1">
        <w:rPr>
          <w:szCs w:val="20"/>
        </w:rPr>
        <w:t>, PwC,</w:t>
      </w:r>
      <w:r w:rsidR="00236BB8" w:rsidRPr="00453AB1">
        <w:rPr>
          <w:szCs w:val="20"/>
        </w:rPr>
        <w:t xml:space="preserve"> </w:t>
      </w:r>
      <w:r w:rsidR="00017ED5" w:rsidRPr="00453AB1">
        <w:rPr>
          <w:szCs w:val="20"/>
        </w:rPr>
        <w:t>said:</w:t>
      </w:r>
    </w:p>
    <w:p w:rsidR="00E76F1E" w:rsidRPr="00453AB1" w:rsidRDefault="00E76F1E" w:rsidP="00017ED5">
      <w:pPr>
        <w:rPr>
          <w:szCs w:val="20"/>
        </w:rPr>
      </w:pPr>
    </w:p>
    <w:p w:rsidR="00FD6344" w:rsidRPr="00453AB1" w:rsidRDefault="00453AB1" w:rsidP="00017ED5">
      <w:pPr>
        <w:rPr>
          <w:rFonts w:cs="Arial"/>
          <w:szCs w:val="20"/>
          <w:lang w:val="en-US"/>
        </w:rPr>
      </w:pPr>
      <w:r w:rsidRPr="00453AB1">
        <w:rPr>
          <w:rFonts w:cs="Arial"/>
          <w:szCs w:val="20"/>
          <w:lang w:val="en-US"/>
        </w:rPr>
        <w:t xml:space="preserve">“The most innovative TMT companies making the largest, consistent gains are not </w:t>
      </w:r>
      <w:r w:rsidRPr="00453AB1">
        <w:rPr>
          <w:rFonts w:cs="Helv"/>
          <w:bCs/>
          <w:szCs w:val="20"/>
          <w:lang w:val="en-US"/>
        </w:rPr>
        <w:t xml:space="preserve">always </w:t>
      </w:r>
      <w:r w:rsidRPr="00453AB1">
        <w:rPr>
          <w:rFonts w:cs="Arial"/>
          <w:szCs w:val="20"/>
          <w:lang w:val="en-US"/>
        </w:rPr>
        <w:t xml:space="preserve">heavily investing in the ‘next version’ of anything, but are instead building an innovation ecosystem that encourages </w:t>
      </w:r>
      <w:r w:rsidRPr="00453AB1">
        <w:rPr>
          <w:rFonts w:cs="Helv"/>
          <w:bCs/>
          <w:szCs w:val="20"/>
          <w:lang w:val="en-US"/>
        </w:rPr>
        <w:t>development of</w:t>
      </w:r>
      <w:r w:rsidRPr="00453AB1">
        <w:rPr>
          <w:rFonts w:cs="Helv"/>
          <w:b/>
          <w:bCs/>
          <w:szCs w:val="20"/>
          <w:lang w:val="en-US"/>
        </w:rPr>
        <w:t xml:space="preserve"> </w:t>
      </w:r>
      <w:r w:rsidRPr="00453AB1">
        <w:rPr>
          <w:rFonts w:cs="Arial"/>
          <w:szCs w:val="20"/>
          <w:lang w:val="en-US"/>
        </w:rPr>
        <w:t>products and services that alter industry and society. Within that ecosystem</w:t>
      </w:r>
      <w:r w:rsidR="0075590D">
        <w:rPr>
          <w:rFonts w:cs="Arial"/>
          <w:szCs w:val="20"/>
          <w:lang w:val="en-US"/>
        </w:rPr>
        <w:t xml:space="preserve"> </w:t>
      </w:r>
      <w:r w:rsidRPr="00453AB1">
        <w:rPr>
          <w:rFonts w:cs="Helv"/>
          <w:bCs/>
          <w:szCs w:val="20"/>
          <w:lang w:val="en-US"/>
        </w:rPr>
        <w:t xml:space="preserve">thrives </w:t>
      </w:r>
      <w:r w:rsidRPr="00453AB1">
        <w:rPr>
          <w:rFonts w:cs="Arial"/>
          <w:szCs w:val="20"/>
          <w:lang w:val="en-US"/>
        </w:rPr>
        <w:t xml:space="preserve">a culture of ‘intelligent risk taking’ that </w:t>
      </w:r>
      <w:r w:rsidRPr="00453AB1">
        <w:rPr>
          <w:rFonts w:cs="Helv"/>
          <w:bCs/>
          <w:szCs w:val="20"/>
          <w:lang w:val="en-US"/>
        </w:rPr>
        <w:t xml:space="preserve">focuses on continuous improvements by analyzing failures while promoting </w:t>
      </w:r>
      <w:r w:rsidRPr="00453AB1">
        <w:rPr>
          <w:rFonts w:cs="Arial"/>
          <w:szCs w:val="20"/>
          <w:lang w:val="en-US"/>
        </w:rPr>
        <w:t xml:space="preserve">risk </w:t>
      </w:r>
      <w:r w:rsidRPr="00453AB1">
        <w:rPr>
          <w:rFonts w:cs="Helv"/>
          <w:bCs/>
          <w:szCs w:val="20"/>
          <w:lang w:val="en-US"/>
        </w:rPr>
        <w:t>taking at the same time</w:t>
      </w:r>
      <w:r w:rsidRPr="00453AB1">
        <w:rPr>
          <w:rFonts w:cs="Arial"/>
          <w:szCs w:val="20"/>
          <w:lang w:val="en-US"/>
        </w:rPr>
        <w:t>.”</w:t>
      </w:r>
    </w:p>
    <w:p w:rsidR="00453AB1" w:rsidRPr="00453AB1" w:rsidRDefault="00453AB1" w:rsidP="00017ED5">
      <w:pPr>
        <w:rPr>
          <w:szCs w:val="20"/>
        </w:rPr>
      </w:pPr>
    </w:p>
    <w:p w:rsidR="00C0274A" w:rsidRDefault="00FD6344" w:rsidP="00FD6344">
      <w:pPr>
        <w:rPr>
          <w:szCs w:val="20"/>
        </w:rPr>
      </w:pPr>
      <w:r w:rsidRPr="002265FB">
        <w:rPr>
          <w:szCs w:val="20"/>
        </w:rPr>
        <w:t>Collaboration was cited in the research as a key differentiator between TMT innovation leaders and laggards. In today’s competitive market</w:t>
      </w:r>
      <w:r w:rsidR="00C0274A">
        <w:rPr>
          <w:szCs w:val="20"/>
        </w:rPr>
        <w:t>,</w:t>
      </w:r>
      <w:r w:rsidRPr="002265FB">
        <w:rPr>
          <w:szCs w:val="20"/>
        </w:rPr>
        <w:t xml:space="preserve"> many cannot afford to innovate alone. Collaboration and partnering have become the norm for companies aiming for breakthrough and radical innovations. Partnering and collaborating </w:t>
      </w:r>
      <w:r w:rsidR="00C0274A">
        <w:rPr>
          <w:szCs w:val="20"/>
        </w:rPr>
        <w:t xml:space="preserve">have their </w:t>
      </w:r>
      <w:r w:rsidRPr="002265FB">
        <w:rPr>
          <w:szCs w:val="20"/>
        </w:rPr>
        <w:t>benefits: innovation leaders cited enhanced brand value and additional revenue streams in new markets as after effects.</w:t>
      </w:r>
    </w:p>
    <w:p w:rsidR="00C0274A" w:rsidRDefault="00C0274A" w:rsidP="00FD6344">
      <w:pPr>
        <w:rPr>
          <w:szCs w:val="20"/>
        </w:rPr>
      </w:pPr>
    </w:p>
    <w:p w:rsidR="00FD6344" w:rsidRPr="002265FB" w:rsidRDefault="00D74C26" w:rsidP="00FD6344">
      <w:pPr>
        <w:rPr>
          <w:szCs w:val="20"/>
        </w:rPr>
      </w:pPr>
      <w:r>
        <w:rPr>
          <w:szCs w:val="20"/>
        </w:rPr>
        <w:t>Collaborating is also more structured</w:t>
      </w:r>
      <w:r w:rsidR="009A764D">
        <w:rPr>
          <w:szCs w:val="20"/>
        </w:rPr>
        <w:t xml:space="preserve"> and formalised</w:t>
      </w:r>
      <w:r w:rsidR="00693471">
        <w:rPr>
          <w:szCs w:val="20"/>
        </w:rPr>
        <w:t>, the report says</w:t>
      </w:r>
      <w:r>
        <w:rPr>
          <w:szCs w:val="20"/>
        </w:rPr>
        <w:t xml:space="preserve">. </w:t>
      </w:r>
      <w:r w:rsidR="00FD6344" w:rsidRPr="002265FB">
        <w:rPr>
          <w:szCs w:val="20"/>
        </w:rPr>
        <w:t>Most of the 20% most innovative TMT companies have a plan in place to collaborate with strategic partners (99%)</w:t>
      </w:r>
      <w:r w:rsidR="00693471">
        <w:rPr>
          <w:szCs w:val="20"/>
        </w:rPr>
        <w:t>,</w:t>
      </w:r>
      <w:r w:rsidR="00BB6758">
        <w:rPr>
          <w:szCs w:val="20"/>
        </w:rPr>
        <w:t xml:space="preserve"> </w:t>
      </w:r>
      <w:r w:rsidR="00FD6344" w:rsidRPr="002265FB">
        <w:rPr>
          <w:szCs w:val="20"/>
        </w:rPr>
        <w:t>customers (97%), suppliers (78%) and academics (74%).</w:t>
      </w:r>
    </w:p>
    <w:p w:rsidR="0023011B" w:rsidRPr="002265FB" w:rsidRDefault="0023011B" w:rsidP="00017ED5">
      <w:pPr>
        <w:rPr>
          <w:szCs w:val="20"/>
        </w:rPr>
      </w:pPr>
    </w:p>
    <w:p w:rsidR="001C3307" w:rsidRDefault="0023011B" w:rsidP="002265FB">
      <w:pPr>
        <w:rPr>
          <w:szCs w:val="20"/>
        </w:rPr>
      </w:pPr>
      <w:r w:rsidRPr="002265FB">
        <w:rPr>
          <w:szCs w:val="20"/>
        </w:rPr>
        <w:t xml:space="preserve">The report also explores the </w:t>
      </w:r>
      <w:r w:rsidR="001C3307">
        <w:rPr>
          <w:szCs w:val="20"/>
        </w:rPr>
        <w:t>importance of</w:t>
      </w:r>
      <w:r w:rsidRPr="002265FB">
        <w:rPr>
          <w:szCs w:val="20"/>
        </w:rPr>
        <w:t xml:space="preserve"> </w:t>
      </w:r>
      <w:r w:rsidR="001C3307">
        <w:rPr>
          <w:szCs w:val="20"/>
        </w:rPr>
        <w:t>business model innovation</w:t>
      </w:r>
      <w:r w:rsidRPr="002265FB">
        <w:rPr>
          <w:szCs w:val="20"/>
        </w:rPr>
        <w:t xml:space="preserve">. </w:t>
      </w:r>
      <w:r w:rsidR="001C3307">
        <w:rPr>
          <w:szCs w:val="20"/>
        </w:rPr>
        <w:t>While m</w:t>
      </w:r>
      <w:r w:rsidRPr="002265FB">
        <w:rPr>
          <w:szCs w:val="20"/>
        </w:rPr>
        <w:t>any companies focus on product innovation</w:t>
      </w:r>
      <w:r w:rsidR="00693471">
        <w:rPr>
          <w:szCs w:val="20"/>
        </w:rPr>
        <w:t>,</w:t>
      </w:r>
      <w:r w:rsidRPr="002265FB">
        <w:rPr>
          <w:szCs w:val="20"/>
        </w:rPr>
        <w:t xml:space="preserve"> business model innovation requires a re-evaluation of core priorities and what they should be. Though more challenging, business model innovation is crucial </w:t>
      </w:r>
      <w:r w:rsidR="00D74C26">
        <w:rPr>
          <w:szCs w:val="20"/>
        </w:rPr>
        <w:t>in helping</w:t>
      </w:r>
      <w:r w:rsidRPr="002265FB">
        <w:rPr>
          <w:szCs w:val="20"/>
        </w:rPr>
        <w:t xml:space="preserve"> companies avoid commoditisation.</w:t>
      </w:r>
      <w:r w:rsidR="002265FB" w:rsidRPr="002265FB">
        <w:rPr>
          <w:szCs w:val="20"/>
        </w:rPr>
        <w:t xml:space="preserve"> </w:t>
      </w:r>
    </w:p>
    <w:p w:rsidR="001C3307" w:rsidRDefault="001C3307" w:rsidP="002265FB">
      <w:pPr>
        <w:rPr>
          <w:szCs w:val="20"/>
        </w:rPr>
      </w:pPr>
    </w:p>
    <w:p w:rsidR="0023011B" w:rsidRPr="00403015" w:rsidRDefault="00844CD6" w:rsidP="002265FB">
      <w:pPr>
        <w:rPr>
          <w:szCs w:val="20"/>
        </w:rPr>
      </w:pPr>
      <w:r>
        <w:rPr>
          <w:szCs w:val="20"/>
        </w:rPr>
        <w:t>Yet all of this innovation will have little impact if there are not well-orchestrated and coordinated internal structures in place</w:t>
      </w:r>
      <w:r w:rsidR="00693471">
        <w:rPr>
          <w:szCs w:val="20"/>
        </w:rPr>
        <w:t>, the report states</w:t>
      </w:r>
      <w:r>
        <w:rPr>
          <w:szCs w:val="20"/>
        </w:rPr>
        <w:t xml:space="preserve">. The most successful TMT innovators apply a more structured </w:t>
      </w:r>
      <w:r w:rsidR="00693471">
        <w:rPr>
          <w:szCs w:val="20"/>
        </w:rPr>
        <w:t xml:space="preserve">innovation </w:t>
      </w:r>
      <w:r>
        <w:rPr>
          <w:szCs w:val="20"/>
        </w:rPr>
        <w:t>a</w:t>
      </w:r>
      <w:r w:rsidR="0023011B" w:rsidRPr="002265FB">
        <w:rPr>
          <w:szCs w:val="20"/>
        </w:rPr>
        <w:t>pproach</w:t>
      </w:r>
      <w:r>
        <w:rPr>
          <w:szCs w:val="20"/>
        </w:rPr>
        <w:t xml:space="preserve"> which</w:t>
      </w:r>
      <w:r w:rsidR="0023011B" w:rsidRPr="002265FB">
        <w:rPr>
          <w:szCs w:val="20"/>
        </w:rPr>
        <w:t xml:space="preserve"> ensure</w:t>
      </w:r>
      <w:r>
        <w:rPr>
          <w:szCs w:val="20"/>
        </w:rPr>
        <w:t>s</w:t>
      </w:r>
      <w:r w:rsidR="0023011B" w:rsidRPr="002265FB">
        <w:rPr>
          <w:szCs w:val="20"/>
        </w:rPr>
        <w:t xml:space="preserve"> the best ideas are gathered and organized into commercially-viable propositions</w:t>
      </w:r>
      <w:r>
        <w:rPr>
          <w:szCs w:val="20"/>
        </w:rPr>
        <w:t xml:space="preserve">. This </w:t>
      </w:r>
      <w:r w:rsidR="0023011B" w:rsidRPr="002265FB">
        <w:rPr>
          <w:szCs w:val="20"/>
        </w:rPr>
        <w:t xml:space="preserve">differs from </w:t>
      </w:r>
      <w:r>
        <w:rPr>
          <w:szCs w:val="20"/>
        </w:rPr>
        <w:t xml:space="preserve">the </w:t>
      </w:r>
      <w:r w:rsidR="0023011B" w:rsidRPr="002265FB">
        <w:rPr>
          <w:szCs w:val="20"/>
        </w:rPr>
        <w:t>least innovative TMT companies</w:t>
      </w:r>
      <w:r>
        <w:rPr>
          <w:szCs w:val="20"/>
        </w:rPr>
        <w:t>, which</w:t>
      </w:r>
      <w:r w:rsidR="0023011B" w:rsidRPr="002265FB">
        <w:rPr>
          <w:szCs w:val="20"/>
        </w:rPr>
        <w:t xml:space="preserve"> take a </w:t>
      </w:r>
      <w:r w:rsidR="0023011B" w:rsidRPr="00403015">
        <w:rPr>
          <w:szCs w:val="20"/>
        </w:rPr>
        <w:t>much more informal, ad hoc approach</w:t>
      </w:r>
      <w:r w:rsidRPr="00403015">
        <w:rPr>
          <w:szCs w:val="20"/>
        </w:rPr>
        <w:t xml:space="preserve"> toward innovation that has little connection to corporate goals and processes</w:t>
      </w:r>
      <w:r w:rsidR="0023011B" w:rsidRPr="00403015">
        <w:rPr>
          <w:szCs w:val="20"/>
        </w:rPr>
        <w:t xml:space="preserve">. </w:t>
      </w:r>
    </w:p>
    <w:p w:rsidR="0023011B" w:rsidRPr="00403015" w:rsidRDefault="0023011B" w:rsidP="0023011B">
      <w:pPr>
        <w:rPr>
          <w:szCs w:val="20"/>
        </w:rPr>
      </w:pPr>
    </w:p>
    <w:p w:rsidR="00923D6B" w:rsidRDefault="00AE4CE9" w:rsidP="00923D6B">
      <w:pPr>
        <w:rPr>
          <w:szCs w:val="20"/>
        </w:rPr>
      </w:pPr>
      <w:r w:rsidRPr="00403015">
        <w:rPr>
          <w:szCs w:val="20"/>
        </w:rPr>
        <w:t>Rob Shelton</w:t>
      </w:r>
      <w:r w:rsidR="00255C91" w:rsidRPr="00403015">
        <w:rPr>
          <w:szCs w:val="20"/>
        </w:rPr>
        <w:t xml:space="preserve">, </w:t>
      </w:r>
      <w:r w:rsidR="00883C95" w:rsidRPr="00403015">
        <w:rPr>
          <w:szCs w:val="20"/>
        </w:rPr>
        <w:t>PwC’s Global Innovation Leader</w:t>
      </w:r>
      <w:r w:rsidR="00923D6B" w:rsidRPr="00403015">
        <w:rPr>
          <w:szCs w:val="20"/>
        </w:rPr>
        <w:t>, said:</w:t>
      </w:r>
    </w:p>
    <w:p w:rsidR="00E76F1E" w:rsidRPr="00403015" w:rsidRDefault="00E76F1E" w:rsidP="00923D6B">
      <w:pPr>
        <w:rPr>
          <w:szCs w:val="20"/>
        </w:rPr>
      </w:pPr>
    </w:p>
    <w:p w:rsidR="00403015" w:rsidRPr="00403015" w:rsidRDefault="00403015" w:rsidP="00403015">
      <w:pPr>
        <w:autoSpaceDE w:val="0"/>
        <w:autoSpaceDN w:val="0"/>
        <w:adjustRightInd w:val="0"/>
        <w:spacing w:line="240" w:lineRule="auto"/>
        <w:rPr>
          <w:rFonts w:cs="Arial"/>
          <w:color w:val="000000"/>
          <w:szCs w:val="20"/>
          <w:lang w:val="en-US"/>
        </w:rPr>
      </w:pPr>
      <w:r w:rsidRPr="00403015">
        <w:rPr>
          <w:rFonts w:cs="Arial"/>
          <w:color w:val="000000"/>
          <w:szCs w:val="20"/>
          <w:lang w:val="en-US"/>
        </w:rPr>
        <w:t>“Identifying the traits and habits of leading innovators and instituting a framework of innovation discipline have a direct correlation to higher revenues, larger market share and overall growth for TMT and all companies. Even companies that discover ‘the next big thing’ do not succeed unless they have a longer term, formal process to repeat and sustain innovation over time.”</w:t>
      </w:r>
    </w:p>
    <w:p w:rsidR="00F5146C" w:rsidRDefault="00F5146C" w:rsidP="00923D6B">
      <w:pPr>
        <w:autoSpaceDE w:val="0"/>
        <w:autoSpaceDN w:val="0"/>
        <w:adjustRightInd w:val="0"/>
        <w:spacing w:line="240" w:lineRule="auto"/>
        <w:rPr>
          <w:szCs w:val="20"/>
        </w:rPr>
      </w:pPr>
    </w:p>
    <w:p w:rsidR="00E82F4D" w:rsidRDefault="00E82F4D">
      <w:pPr>
        <w:spacing w:line="240" w:lineRule="auto"/>
        <w:rPr>
          <w:rFonts w:cs="Arial"/>
          <w:b/>
          <w:color w:val="000000"/>
          <w:szCs w:val="20"/>
        </w:rPr>
      </w:pPr>
      <w:r>
        <w:rPr>
          <w:rFonts w:cs="Arial"/>
          <w:b/>
          <w:color w:val="000000"/>
          <w:szCs w:val="20"/>
        </w:rPr>
        <w:br w:type="page"/>
      </w:r>
    </w:p>
    <w:p w:rsidR="00D81336" w:rsidRDefault="00A77FF6">
      <w:pPr>
        <w:rPr>
          <w:rFonts w:cs="Arial"/>
          <w:b/>
          <w:color w:val="000000"/>
          <w:szCs w:val="20"/>
        </w:rPr>
      </w:pPr>
      <w:r w:rsidRPr="002265FB">
        <w:rPr>
          <w:rFonts w:cs="Arial"/>
          <w:b/>
          <w:color w:val="000000"/>
          <w:szCs w:val="20"/>
        </w:rPr>
        <w:lastRenderedPageBreak/>
        <w:t>Notes:</w:t>
      </w:r>
    </w:p>
    <w:p w:rsidR="00E76F1E" w:rsidRPr="002265FB" w:rsidRDefault="00E76F1E">
      <w:pPr>
        <w:rPr>
          <w:rFonts w:cs="Arial"/>
          <w:b/>
          <w:color w:val="000000"/>
          <w:szCs w:val="20"/>
        </w:rPr>
      </w:pPr>
    </w:p>
    <w:p w:rsidR="00AB7D21" w:rsidRDefault="00AB7D21" w:rsidP="00F5146C">
      <w:pPr>
        <w:rPr>
          <w:rFonts w:cs="Helv"/>
          <w:i/>
          <w:szCs w:val="20"/>
        </w:rPr>
      </w:pPr>
      <w:r>
        <w:rPr>
          <w:rFonts w:cs="Helv"/>
          <w:i/>
          <w:szCs w:val="20"/>
        </w:rPr>
        <w:t xml:space="preserve">Contact Dan </w:t>
      </w:r>
      <w:r w:rsidR="00BB6758" w:rsidRPr="002265FB">
        <w:rPr>
          <w:szCs w:val="20"/>
        </w:rPr>
        <w:t>DiFilippo</w:t>
      </w:r>
      <w:r w:rsidR="00BB6758" w:rsidDel="00BB6758">
        <w:rPr>
          <w:rFonts w:cs="Helv"/>
          <w:i/>
          <w:szCs w:val="20"/>
        </w:rPr>
        <w:t xml:space="preserve"> </w:t>
      </w:r>
      <w:r>
        <w:rPr>
          <w:rFonts w:cs="Helv"/>
          <w:i/>
          <w:szCs w:val="20"/>
        </w:rPr>
        <w:t xml:space="preserve">on </w:t>
      </w:r>
      <w:r>
        <w:rPr>
          <w:szCs w:val="20"/>
        </w:rPr>
        <w:t>Twitter:</w:t>
      </w:r>
      <w:r w:rsidRPr="002265FB">
        <w:rPr>
          <w:szCs w:val="20"/>
        </w:rPr>
        <w:t xml:space="preserve"> @DanDGlobal</w:t>
      </w:r>
    </w:p>
    <w:p w:rsidR="00C0274A" w:rsidRDefault="00C0274A" w:rsidP="00F5146C">
      <w:pPr>
        <w:rPr>
          <w:rFonts w:cs="Helv"/>
          <w:i/>
          <w:szCs w:val="20"/>
        </w:rPr>
      </w:pPr>
      <w:r>
        <w:rPr>
          <w:rFonts w:cs="Helv"/>
          <w:i/>
          <w:szCs w:val="20"/>
        </w:rPr>
        <w:t xml:space="preserve">Contact Raman Chitkara on Twitter: </w:t>
      </w:r>
      <w:r>
        <w:rPr>
          <w:szCs w:val="20"/>
        </w:rPr>
        <w:t>@Raman_Chitkara</w:t>
      </w:r>
    </w:p>
    <w:p w:rsidR="00C0274A" w:rsidRDefault="00C0274A" w:rsidP="00F5146C">
      <w:pPr>
        <w:rPr>
          <w:rFonts w:cs="Helv"/>
          <w:i/>
          <w:szCs w:val="20"/>
        </w:rPr>
      </w:pPr>
    </w:p>
    <w:p w:rsidR="00780E52" w:rsidRDefault="003E3DE3" w:rsidP="00F5146C">
      <w:pPr>
        <w:rPr>
          <w:szCs w:val="20"/>
        </w:rPr>
      </w:pPr>
      <w:r w:rsidRPr="003E3DE3">
        <w:rPr>
          <w:rFonts w:cs="Helv"/>
          <w:bCs/>
          <w:i/>
          <w:color w:val="000000"/>
          <w:szCs w:val="20"/>
          <w:lang w:val="en-US"/>
        </w:rPr>
        <w:t>Learning from innovation leaders</w:t>
      </w:r>
      <w:r w:rsidRPr="002265FB" w:rsidDel="003E3DE3">
        <w:rPr>
          <w:rFonts w:cs="Helv"/>
          <w:i/>
          <w:szCs w:val="20"/>
        </w:rPr>
        <w:t xml:space="preserve"> </w:t>
      </w:r>
      <w:r w:rsidR="00F27911" w:rsidRPr="002265FB">
        <w:rPr>
          <w:rFonts w:cs="Helv"/>
          <w:szCs w:val="20"/>
        </w:rPr>
        <w:t xml:space="preserve">is the second in a series of reports about TMT innovation by PwC. The first report, </w:t>
      </w:r>
      <w:r w:rsidR="00F27911" w:rsidRPr="002265FB">
        <w:rPr>
          <w:i/>
          <w:szCs w:val="20"/>
        </w:rPr>
        <w:t>Seizing the Innovation Edge</w:t>
      </w:r>
      <w:r w:rsidR="00F27911" w:rsidRPr="002265FB">
        <w:rPr>
          <w:szCs w:val="20"/>
        </w:rPr>
        <w:t>, identified steps companies could take to develop a coherent innovation strategy, and h0w this focus on innovation generates faster revenue grow</w:t>
      </w:r>
      <w:r w:rsidR="00E76F1E">
        <w:rPr>
          <w:szCs w:val="20"/>
        </w:rPr>
        <w:t xml:space="preserve">th. </w:t>
      </w:r>
      <w:r w:rsidR="00F27911" w:rsidRPr="002265FB">
        <w:rPr>
          <w:szCs w:val="20"/>
        </w:rPr>
        <w:t>The final paper in this series will focus on</w:t>
      </w:r>
      <w:r w:rsidR="00780E52" w:rsidRPr="002265FB">
        <w:rPr>
          <w:szCs w:val="20"/>
        </w:rPr>
        <w:t xml:space="preserve"> common barriers to innovation and how they can be overcome, as well as  best practice innovation approaches occurring across the TMT industries.</w:t>
      </w:r>
    </w:p>
    <w:p w:rsidR="00E82F4D" w:rsidRPr="002265FB" w:rsidRDefault="00E82F4D" w:rsidP="00F5146C">
      <w:pPr>
        <w:rPr>
          <w:szCs w:val="20"/>
        </w:rPr>
      </w:pPr>
    </w:p>
    <w:p w:rsidR="00F5146C" w:rsidRPr="00E76F1E" w:rsidRDefault="00E76F1E" w:rsidP="00F37E8D">
      <w:pPr>
        <w:tabs>
          <w:tab w:val="left" w:pos="2010"/>
          <w:tab w:val="left" w:pos="5049"/>
        </w:tabs>
        <w:autoSpaceDE w:val="0"/>
        <w:autoSpaceDN w:val="0"/>
        <w:adjustRightInd w:val="0"/>
        <w:spacing w:line="240" w:lineRule="auto"/>
        <w:rPr>
          <w:rFonts w:cs="ITCCharterCom-Black"/>
          <w:b/>
          <w:szCs w:val="20"/>
        </w:rPr>
      </w:pPr>
      <w:r w:rsidRPr="00E76F1E">
        <w:rPr>
          <w:rFonts w:cs="ITCCharterCom-Black"/>
          <w:b/>
          <w:szCs w:val="20"/>
        </w:rPr>
        <w:t>About PwC</w:t>
      </w:r>
    </w:p>
    <w:p w:rsidR="00E76F1E" w:rsidRPr="00F37E8D" w:rsidRDefault="00E76F1E" w:rsidP="00F37E8D">
      <w:pPr>
        <w:tabs>
          <w:tab w:val="left" w:pos="2010"/>
          <w:tab w:val="left" w:pos="5049"/>
        </w:tabs>
        <w:autoSpaceDE w:val="0"/>
        <w:autoSpaceDN w:val="0"/>
        <w:adjustRightInd w:val="0"/>
        <w:spacing w:line="240" w:lineRule="auto"/>
        <w:rPr>
          <w:rFonts w:cs="ITCCharterCom-Black"/>
          <w:szCs w:val="20"/>
        </w:rPr>
      </w:pPr>
    </w:p>
    <w:p w:rsidR="00BB47ED" w:rsidRPr="00BB47ED" w:rsidRDefault="00BB47ED" w:rsidP="00BB47ED">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Arial"/>
          <w:i/>
          <w:iCs/>
          <w:color w:val="000000"/>
          <w:sz w:val="18"/>
          <w:szCs w:val="18"/>
        </w:rPr>
      </w:pPr>
      <w:r w:rsidRPr="00BB47ED">
        <w:rPr>
          <w:rFonts w:cs="Arial"/>
          <w:i/>
          <w:iCs/>
          <w:color w:val="000000"/>
          <w:sz w:val="18"/>
          <w:szCs w:val="18"/>
        </w:rPr>
        <w:t>PwC helps organisations and individuals create the value they’re looking for. We’re a network of firms in 157 countries with more than 184,000 people who are committed to delivering quality in assurance, tax and advisory services. Tell us what matters to you and find out more by visiting us at</w:t>
      </w:r>
      <w:r w:rsidR="00052E41">
        <w:rPr>
          <w:rFonts w:cs="Arial"/>
          <w:i/>
          <w:iCs/>
          <w:color w:val="000000"/>
          <w:sz w:val="18"/>
          <w:szCs w:val="18"/>
        </w:rPr>
        <w:t xml:space="preserve"> </w:t>
      </w:r>
      <w:r w:rsidRPr="00BB47ED">
        <w:rPr>
          <w:rFonts w:cs="Arial"/>
          <w:i/>
          <w:iCs/>
          <w:color w:val="000000"/>
          <w:sz w:val="18"/>
          <w:szCs w:val="18"/>
        </w:rPr>
        <w:t>www.pwc.com.</w:t>
      </w:r>
    </w:p>
    <w:p w:rsidR="00BB47ED" w:rsidRPr="00BB47ED" w:rsidRDefault="00BB47ED" w:rsidP="00BB47ED">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Arial"/>
          <w:i/>
          <w:iCs/>
          <w:color w:val="000000"/>
          <w:sz w:val="18"/>
          <w:szCs w:val="18"/>
        </w:rPr>
      </w:pPr>
    </w:p>
    <w:p w:rsidR="00D81336" w:rsidRPr="00C7234F" w:rsidRDefault="00BB47ED" w:rsidP="00BB6758">
      <w:pPr>
        <w:rPr>
          <w:rFonts w:cs="Arial"/>
          <w:bCs/>
          <w:sz w:val="18"/>
          <w:szCs w:val="18"/>
        </w:rPr>
      </w:pPr>
      <w:r w:rsidRPr="00BB47ED">
        <w:rPr>
          <w:rFonts w:cs="Arial"/>
          <w:i/>
          <w:iCs/>
          <w:color w:val="000000"/>
          <w:sz w:val="18"/>
          <w:szCs w:val="18"/>
        </w:rPr>
        <w:t>PwC refers to the PwC network and/or one or more of its member firms, each of which is a separate legal entity. Please see www.pwc.com/structure for further details.</w:t>
      </w:r>
    </w:p>
    <w:sectPr w:rsidR="00D81336" w:rsidRPr="00C7234F" w:rsidSect="00501825">
      <w:headerReference w:type="even" r:id="rId9"/>
      <w:headerReference w:type="default" r:id="rId10"/>
      <w:footerReference w:type="even" r:id="rId11"/>
      <w:footerReference w:type="default" r:id="rId12"/>
      <w:headerReference w:type="first" r:id="rId13"/>
      <w:pgSz w:w="12240" w:h="15840" w:code="1"/>
      <w:pgMar w:top="3139" w:right="850" w:bottom="1411" w:left="1987"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EBE" w:rsidRDefault="00DB7EBE">
      <w:pPr>
        <w:spacing w:line="240" w:lineRule="auto"/>
      </w:pPr>
      <w:r>
        <w:separator/>
      </w:r>
    </w:p>
  </w:endnote>
  <w:endnote w:type="continuationSeparator" w:id="0">
    <w:p w:rsidR="00DB7EBE" w:rsidRDefault="00DB7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ITCCharterCom-Blac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E0140E">
    <w:pPr>
      <w:pStyle w:val="Footer"/>
    </w:pPr>
    <w:r>
      <w:fldChar w:fldCharType="begin"/>
    </w:r>
    <w:r w:rsidR="00393683">
      <w:instrText xml:space="preserve"> PAGE  \* MERGEFORMAT </w:instrText>
    </w:r>
    <w:r>
      <w:fldChar w:fldCharType="separate"/>
    </w:r>
    <w:r w:rsidR="00E82F4D">
      <w:rPr>
        <w:noProof/>
      </w:rPr>
      <w:t>2</w:t>
    </w:r>
    <w:r>
      <w:rPr>
        <w:noProof/>
      </w:rPr>
      <w:fldChar w:fldCharType="end"/>
    </w:r>
    <w:r w:rsidR="00A77FF6">
      <w:t xml:space="preserve"> of </w:t>
    </w:r>
    <w:fldSimple w:instr=" NUMPAGES  \* MERGEFORMAT ">
      <w:r w:rsidR="00E82F4D">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E0140E">
    <w:pPr>
      <w:pStyle w:val="Footer"/>
    </w:pPr>
    <w:r>
      <w:fldChar w:fldCharType="begin"/>
    </w:r>
    <w:r w:rsidR="00393683">
      <w:instrText xml:space="preserve"> PAGE  \* MERGEFORMAT </w:instrText>
    </w:r>
    <w:r>
      <w:fldChar w:fldCharType="separate"/>
    </w:r>
    <w:r w:rsidR="00E82F4D">
      <w:rPr>
        <w:noProof/>
      </w:rPr>
      <w:t>3</w:t>
    </w:r>
    <w:r>
      <w:rPr>
        <w:noProof/>
      </w:rPr>
      <w:fldChar w:fldCharType="end"/>
    </w:r>
    <w:r w:rsidR="00A77FF6">
      <w:t xml:space="preserve"> of </w:t>
    </w:r>
    <w:fldSimple w:instr=" NUMPAGES  \* MERGEFORMAT ">
      <w:r w:rsidR="00E82F4D">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EBE" w:rsidRDefault="00DB7EBE">
      <w:pPr>
        <w:spacing w:line="240" w:lineRule="auto"/>
      </w:pPr>
      <w:r>
        <w:separator/>
      </w:r>
    </w:p>
  </w:footnote>
  <w:footnote w:type="continuationSeparator" w:id="0">
    <w:p w:rsidR="00DB7EBE" w:rsidRDefault="00DB7E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0CE6">
    <w:pPr>
      <w:pStyle w:val="Header"/>
    </w:pPr>
    <w:r>
      <w:rPr>
        <w:noProof/>
        <w:lang w:val="en-US"/>
      </w:rPr>
      <w:drawing>
        <wp:anchor distT="0" distB="0" distL="114300" distR="114300" simplePos="0" relativeHeight="251658752" behindDoc="0" locked="1" layoutInCell="1" allowOverlap="1" wp14:anchorId="6AFB6A13" wp14:editId="4A214CB8">
          <wp:simplePos x="0" y="0"/>
          <wp:positionH relativeFrom="page">
            <wp:posOffset>431165</wp:posOffset>
          </wp:positionH>
          <wp:positionV relativeFrom="page">
            <wp:posOffset>490855</wp:posOffset>
          </wp:positionV>
          <wp:extent cx="1410970" cy="12687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D81336" w:rsidRDefault="00D81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0CE6">
    <w:pPr>
      <w:pStyle w:val="Header"/>
    </w:pPr>
    <w:r>
      <w:rPr>
        <w:noProof/>
        <w:lang w:val="en-US"/>
      </w:rPr>
      <w:drawing>
        <wp:anchor distT="0" distB="0" distL="114300" distR="114300" simplePos="0" relativeHeight="251657728" behindDoc="0" locked="1" layoutInCell="1" allowOverlap="1" wp14:anchorId="7A890562" wp14:editId="75A078EF">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D81336" w:rsidRDefault="00D81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0CE6">
    <w:pPr>
      <w:pStyle w:val="Header"/>
    </w:pPr>
    <w:r>
      <w:rPr>
        <w:noProof/>
        <w:lang w:val="en-US"/>
      </w:rPr>
      <w:drawing>
        <wp:anchor distT="0" distB="0" distL="114300" distR="114300" simplePos="0" relativeHeight="251656704" behindDoc="0" locked="1" layoutInCell="1" allowOverlap="1" wp14:anchorId="284C5E17" wp14:editId="14C2562D">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B10F114"/>
    <w:lvl w:ilvl="0">
      <w:numFmt w:val="bullet"/>
      <w:lvlText w:val="*"/>
      <w:lvlJc w:val="left"/>
    </w:lvl>
  </w:abstractNum>
  <w:abstractNum w:abstractNumId="11">
    <w:nsid w:val="133167E6"/>
    <w:multiLevelType w:val="hybridMultilevel"/>
    <w:tmpl w:val="683A0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BE732C0"/>
    <w:multiLevelType w:val="hybridMultilevel"/>
    <w:tmpl w:val="6BE4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4">
    <w:nsid w:val="1FCE483B"/>
    <w:multiLevelType w:val="hybridMultilevel"/>
    <w:tmpl w:val="8C9E00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E92F87"/>
    <w:multiLevelType w:val="hybridMultilevel"/>
    <w:tmpl w:val="28C47278"/>
    <w:lvl w:ilvl="0" w:tplc="45289F02">
      <w:start w:val="1"/>
      <w:numFmt w:val="decimal"/>
      <w:lvlText w:val="%1."/>
      <w:lvlJc w:val="left"/>
      <w:pPr>
        <w:ind w:left="720" w:hanging="360"/>
      </w:pPr>
    </w:lvl>
    <w:lvl w:ilvl="1" w:tplc="0809000F">
      <w:start w:val="1"/>
      <w:numFmt w:val="decimal"/>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0DF71B8"/>
    <w:multiLevelType w:val="hybridMultilevel"/>
    <w:tmpl w:val="F492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3D4C"/>
    <w:multiLevelType w:val="hybridMultilevel"/>
    <w:tmpl w:val="BEAA203E"/>
    <w:lvl w:ilvl="0" w:tplc="5EB495E0">
      <w:start w:val="1"/>
      <w:numFmt w:val="decimal"/>
      <w:lvlText w:val="%1."/>
      <w:lvlJc w:val="left"/>
      <w:pPr>
        <w:ind w:left="360" w:hanging="360"/>
      </w:pPr>
      <w:rPr>
        <w:rFonts w:ascii="Cambria" w:hAnsi="Cambria" w:hint="default"/>
        <w:sz w:val="20"/>
        <w:szCs w:val="20"/>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49063FD"/>
    <w:multiLevelType w:val="hybridMultilevel"/>
    <w:tmpl w:val="A132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122278"/>
    <w:multiLevelType w:val="hybridMultilevel"/>
    <w:tmpl w:val="F706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1">
    <w:nsid w:val="66EA5E03"/>
    <w:multiLevelType w:val="hybridMultilevel"/>
    <w:tmpl w:val="BD5C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4142AE"/>
    <w:multiLevelType w:val="hybridMultilevel"/>
    <w:tmpl w:val="8818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EC4ACE"/>
    <w:multiLevelType w:val="hybridMultilevel"/>
    <w:tmpl w:val="2228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523C64"/>
    <w:multiLevelType w:val="hybridMultilevel"/>
    <w:tmpl w:val="FB467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CB0114"/>
    <w:multiLevelType w:val="hybridMultilevel"/>
    <w:tmpl w:val="2C924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nsid w:val="781B763F"/>
    <w:multiLevelType w:val="hybridMultilevel"/>
    <w:tmpl w:val="6754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282FA1"/>
    <w:multiLevelType w:val="hybridMultilevel"/>
    <w:tmpl w:val="F09E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0"/>
  </w:num>
  <w:num w:numId="14">
    <w:abstractNumId w:val="12"/>
  </w:num>
  <w:num w:numId="15">
    <w:abstractNumId w:val="23"/>
  </w:num>
  <w:num w:numId="16">
    <w:abstractNumId w:val="19"/>
  </w:num>
  <w:num w:numId="17">
    <w:abstractNumId w:val="14"/>
  </w:num>
  <w:num w:numId="18">
    <w:abstractNumId w:val="24"/>
  </w:num>
  <w:num w:numId="19">
    <w:abstractNumId w:val="21"/>
  </w:num>
  <w:num w:numId="20">
    <w:abstractNumId w:val="17"/>
  </w:num>
  <w:num w:numId="21">
    <w:abstractNumId w:val="15"/>
  </w:num>
  <w:num w:numId="22">
    <w:abstractNumId w:val="16"/>
  </w:num>
  <w:num w:numId="23">
    <w:abstractNumId w:val="25"/>
  </w:num>
  <w:num w:numId="24">
    <w:abstractNumId w:val="10"/>
    <w:lvlOverride w:ilvl="0">
      <w:lvl w:ilvl="0">
        <w:numFmt w:val="bullet"/>
        <w:lvlText w:val=""/>
        <w:legacy w:legacy="1" w:legacySpace="0" w:legacyIndent="0"/>
        <w:lvlJc w:val="left"/>
        <w:rPr>
          <w:rFonts w:ascii="Symbol" w:hAnsi="Symbol" w:hint="default"/>
          <w:sz w:val="22"/>
        </w:rPr>
      </w:lvl>
    </w:lvlOverride>
  </w:num>
  <w:num w:numId="25">
    <w:abstractNumId w:val="27"/>
  </w:num>
  <w:num w:numId="26">
    <w:abstractNumId w:val="18"/>
  </w:num>
  <w:num w:numId="27">
    <w:abstractNumId w:val="11"/>
  </w:num>
  <w:num w:numId="28">
    <w:abstractNumId w:val="2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36"/>
    <w:rsid w:val="00006AE5"/>
    <w:rsid w:val="0001193B"/>
    <w:rsid w:val="00017ED5"/>
    <w:rsid w:val="00021346"/>
    <w:rsid w:val="00024FE0"/>
    <w:rsid w:val="0002648E"/>
    <w:rsid w:val="0004136B"/>
    <w:rsid w:val="00044346"/>
    <w:rsid w:val="00046B4E"/>
    <w:rsid w:val="00052E2C"/>
    <w:rsid w:val="00052E41"/>
    <w:rsid w:val="0005778C"/>
    <w:rsid w:val="000610EB"/>
    <w:rsid w:val="00073F6A"/>
    <w:rsid w:val="00083687"/>
    <w:rsid w:val="000E26AB"/>
    <w:rsid w:val="000E4BCB"/>
    <w:rsid w:val="000F529D"/>
    <w:rsid w:val="001027EA"/>
    <w:rsid w:val="00103223"/>
    <w:rsid w:val="00104713"/>
    <w:rsid w:val="00127BEF"/>
    <w:rsid w:val="00135784"/>
    <w:rsid w:val="00135CC6"/>
    <w:rsid w:val="00136F21"/>
    <w:rsid w:val="0014604F"/>
    <w:rsid w:val="0015067D"/>
    <w:rsid w:val="00152644"/>
    <w:rsid w:val="00156A70"/>
    <w:rsid w:val="00160C0A"/>
    <w:rsid w:val="001752F9"/>
    <w:rsid w:val="001805A6"/>
    <w:rsid w:val="00194555"/>
    <w:rsid w:val="001A166B"/>
    <w:rsid w:val="001A6BCA"/>
    <w:rsid w:val="001B0FDB"/>
    <w:rsid w:val="001B5934"/>
    <w:rsid w:val="001C3307"/>
    <w:rsid w:val="001E6BE9"/>
    <w:rsid w:val="001E7D34"/>
    <w:rsid w:val="001F1955"/>
    <w:rsid w:val="001F3C00"/>
    <w:rsid w:val="00204F9E"/>
    <w:rsid w:val="00207B40"/>
    <w:rsid w:val="00221B2F"/>
    <w:rsid w:val="002265FB"/>
    <w:rsid w:val="0023011B"/>
    <w:rsid w:val="002304B7"/>
    <w:rsid w:val="00230F6C"/>
    <w:rsid w:val="00234BFB"/>
    <w:rsid w:val="00236BB8"/>
    <w:rsid w:val="00242BFE"/>
    <w:rsid w:val="00251125"/>
    <w:rsid w:val="00255C91"/>
    <w:rsid w:val="00270672"/>
    <w:rsid w:val="00280364"/>
    <w:rsid w:val="00290936"/>
    <w:rsid w:val="002D0A99"/>
    <w:rsid w:val="002D542C"/>
    <w:rsid w:val="002D6E1A"/>
    <w:rsid w:val="002E55E0"/>
    <w:rsid w:val="003017F6"/>
    <w:rsid w:val="00321D79"/>
    <w:rsid w:val="00337793"/>
    <w:rsid w:val="00356366"/>
    <w:rsid w:val="00362E6A"/>
    <w:rsid w:val="00370039"/>
    <w:rsid w:val="00373606"/>
    <w:rsid w:val="00390080"/>
    <w:rsid w:val="00393683"/>
    <w:rsid w:val="003C62E9"/>
    <w:rsid w:val="003C723B"/>
    <w:rsid w:val="003D6A4B"/>
    <w:rsid w:val="003E1A4A"/>
    <w:rsid w:val="003E3A1F"/>
    <w:rsid w:val="003E3DE3"/>
    <w:rsid w:val="003E7169"/>
    <w:rsid w:val="003E78E5"/>
    <w:rsid w:val="003F21FD"/>
    <w:rsid w:val="00403015"/>
    <w:rsid w:val="0042478E"/>
    <w:rsid w:val="00425C8B"/>
    <w:rsid w:val="00437EBF"/>
    <w:rsid w:val="0044270F"/>
    <w:rsid w:val="00443378"/>
    <w:rsid w:val="00453AB1"/>
    <w:rsid w:val="00464D97"/>
    <w:rsid w:val="0048163B"/>
    <w:rsid w:val="004A2FD3"/>
    <w:rsid w:val="004A4CF4"/>
    <w:rsid w:val="004B06DF"/>
    <w:rsid w:val="004B740C"/>
    <w:rsid w:val="004C70EC"/>
    <w:rsid w:val="004D4208"/>
    <w:rsid w:val="004D5CE4"/>
    <w:rsid w:val="004F5679"/>
    <w:rsid w:val="00501825"/>
    <w:rsid w:val="00503C92"/>
    <w:rsid w:val="00512820"/>
    <w:rsid w:val="00577FB3"/>
    <w:rsid w:val="005A05B8"/>
    <w:rsid w:val="005D365B"/>
    <w:rsid w:val="005D6FF0"/>
    <w:rsid w:val="00614A1D"/>
    <w:rsid w:val="0062072C"/>
    <w:rsid w:val="00622A9D"/>
    <w:rsid w:val="00633631"/>
    <w:rsid w:val="00671D62"/>
    <w:rsid w:val="00672373"/>
    <w:rsid w:val="00680895"/>
    <w:rsid w:val="00693471"/>
    <w:rsid w:val="006A0DB1"/>
    <w:rsid w:val="006B12A3"/>
    <w:rsid w:val="006C72BE"/>
    <w:rsid w:val="006C7AC4"/>
    <w:rsid w:val="006E181F"/>
    <w:rsid w:val="006E1F0F"/>
    <w:rsid w:val="00702378"/>
    <w:rsid w:val="00711B16"/>
    <w:rsid w:val="00717145"/>
    <w:rsid w:val="00724D5C"/>
    <w:rsid w:val="00737A54"/>
    <w:rsid w:val="0074049A"/>
    <w:rsid w:val="0075590D"/>
    <w:rsid w:val="0077103E"/>
    <w:rsid w:val="00780E52"/>
    <w:rsid w:val="007A485E"/>
    <w:rsid w:val="007A77F3"/>
    <w:rsid w:val="007B041F"/>
    <w:rsid w:val="007B0511"/>
    <w:rsid w:val="007B69E1"/>
    <w:rsid w:val="007C43B5"/>
    <w:rsid w:val="007E4726"/>
    <w:rsid w:val="00814070"/>
    <w:rsid w:val="00820FC7"/>
    <w:rsid w:val="00826DF8"/>
    <w:rsid w:val="0083373C"/>
    <w:rsid w:val="00834DE3"/>
    <w:rsid w:val="00842EDD"/>
    <w:rsid w:val="00844CD6"/>
    <w:rsid w:val="00862E83"/>
    <w:rsid w:val="0086545B"/>
    <w:rsid w:val="00883C95"/>
    <w:rsid w:val="00890345"/>
    <w:rsid w:val="008954FC"/>
    <w:rsid w:val="008B4F10"/>
    <w:rsid w:val="008B6A67"/>
    <w:rsid w:val="008C4A7C"/>
    <w:rsid w:val="008C6A29"/>
    <w:rsid w:val="008D3565"/>
    <w:rsid w:val="008E67AC"/>
    <w:rsid w:val="008F39D9"/>
    <w:rsid w:val="0092384B"/>
    <w:rsid w:val="009238D1"/>
    <w:rsid w:val="00923D6B"/>
    <w:rsid w:val="00953237"/>
    <w:rsid w:val="00970878"/>
    <w:rsid w:val="00971626"/>
    <w:rsid w:val="00993039"/>
    <w:rsid w:val="00996943"/>
    <w:rsid w:val="00996A98"/>
    <w:rsid w:val="009A690A"/>
    <w:rsid w:val="009A764D"/>
    <w:rsid w:val="009C6C6F"/>
    <w:rsid w:val="009D17CC"/>
    <w:rsid w:val="009D7AB6"/>
    <w:rsid w:val="009F01CA"/>
    <w:rsid w:val="009F20C9"/>
    <w:rsid w:val="00A10215"/>
    <w:rsid w:val="00A20CBA"/>
    <w:rsid w:val="00A252FA"/>
    <w:rsid w:val="00A4193A"/>
    <w:rsid w:val="00A50A3B"/>
    <w:rsid w:val="00A51DA6"/>
    <w:rsid w:val="00A5260A"/>
    <w:rsid w:val="00A53B34"/>
    <w:rsid w:val="00A55A9F"/>
    <w:rsid w:val="00A71808"/>
    <w:rsid w:val="00A77FF6"/>
    <w:rsid w:val="00AB1A5B"/>
    <w:rsid w:val="00AB7D21"/>
    <w:rsid w:val="00AE0B7C"/>
    <w:rsid w:val="00AE4CE9"/>
    <w:rsid w:val="00AF6C13"/>
    <w:rsid w:val="00B215E9"/>
    <w:rsid w:val="00B26E60"/>
    <w:rsid w:val="00BB47ED"/>
    <w:rsid w:val="00BB6758"/>
    <w:rsid w:val="00BC069C"/>
    <w:rsid w:val="00BC7FAB"/>
    <w:rsid w:val="00BD07A4"/>
    <w:rsid w:val="00BD6496"/>
    <w:rsid w:val="00BE2F72"/>
    <w:rsid w:val="00C00F38"/>
    <w:rsid w:val="00C024AD"/>
    <w:rsid w:val="00C0274A"/>
    <w:rsid w:val="00C056AB"/>
    <w:rsid w:val="00C075C6"/>
    <w:rsid w:val="00C25269"/>
    <w:rsid w:val="00C271C3"/>
    <w:rsid w:val="00C3685C"/>
    <w:rsid w:val="00C64510"/>
    <w:rsid w:val="00C70A5E"/>
    <w:rsid w:val="00C721FC"/>
    <w:rsid w:val="00C7234F"/>
    <w:rsid w:val="00C94E81"/>
    <w:rsid w:val="00CB2D0E"/>
    <w:rsid w:val="00CC12CF"/>
    <w:rsid w:val="00CE123D"/>
    <w:rsid w:val="00CE5EB5"/>
    <w:rsid w:val="00D1599F"/>
    <w:rsid w:val="00D207B0"/>
    <w:rsid w:val="00D23C5B"/>
    <w:rsid w:val="00D370F5"/>
    <w:rsid w:val="00D47125"/>
    <w:rsid w:val="00D6710C"/>
    <w:rsid w:val="00D70544"/>
    <w:rsid w:val="00D73503"/>
    <w:rsid w:val="00D73871"/>
    <w:rsid w:val="00D74C26"/>
    <w:rsid w:val="00D754A8"/>
    <w:rsid w:val="00D75651"/>
    <w:rsid w:val="00D802A3"/>
    <w:rsid w:val="00D81336"/>
    <w:rsid w:val="00D95099"/>
    <w:rsid w:val="00DA612B"/>
    <w:rsid w:val="00DB7EBE"/>
    <w:rsid w:val="00DE67CF"/>
    <w:rsid w:val="00DE6B0F"/>
    <w:rsid w:val="00DF77D0"/>
    <w:rsid w:val="00E0140E"/>
    <w:rsid w:val="00E01B58"/>
    <w:rsid w:val="00E11F82"/>
    <w:rsid w:val="00E12F3D"/>
    <w:rsid w:val="00E24742"/>
    <w:rsid w:val="00E27959"/>
    <w:rsid w:val="00E454B4"/>
    <w:rsid w:val="00E52F69"/>
    <w:rsid w:val="00E62574"/>
    <w:rsid w:val="00E674AC"/>
    <w:rsid w:val="00E76F1E"/>
    <w:rsid w:val="00E82F4D"/>
    <w:rsid w:val="00EB5502"/>
    <w:rsid w:val="00EC00DB"/>
    <w:rsid w:val="00EC30C1"/>
    <w:rsid w:val="00EC4195"/>
    <w:rsid w:val="00EC71C6"/>
    <w:rsid w:val="00EC7646"/>
    <w:rsid w:val="00ED1AC6"/>
    <w:rsid w:val="00ED4301"/>
    <w:rsid w:val="00ED48F7"/>
    <w:rsid w:val="00EE1E32"/>
    <w:rsid w:val="00EF0BDB"/>
    <w:rsid w:val="00F00122"/>
    <w:rsid w:val="00F17ADF"/>
    <w:rsid w:val="00F22648"/>
    <w:rsid w:val="00F27911"/>
    <w:rsid w:val="00F3168E"/>
    <w:rsid w:val="00F36BB7"/>
    <w:rsid w:val="00F36BD4"/>
    <w:rsid w:val="00F37E8D"/>
    <w:rsid w:val="00F501F7"/>
    <w:rsid w:val="00F5146C"/>
    <w:rsid w:val="00F54525"/>
    <w:rsid w:val="00F63E3D"/>
    <w:rsid w:val="00F65C7E"/>
    <w:rsid w:val="00F76B1C"/>
    <w:rsid w:val="00F76F4D"/>
    <w:rsid w:val="00F90CE6"/>
    <w:rsid w:val="00FB788A"/>
    <w:rsid w:val="00FC338F"/>
    <w:rsid w:val="00FD6344"/>
    <w:rsid w:val="00FE2520"/>
    <w:rsid w:val="00FF413D"/>
    <w:rsid w:val="00FF4B04"/>
    <w:rsid w:val="00FF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Cs w:val="22"/>
      <w:lang w:val="en-GB"/>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u w:val="single"/>
    </w:rPr>
  </w:style>
  <w:style w:type="paragraph" w:styleId="NormalWeb">
    <w:name w:val="Normal (Web)"/>
    <w:basedOn w:val="Normal"/>
    <w:rsid w:val="00D81336"/>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paragraph" w:styleId="FootnoteText">
    <w:name w:val="footnote text"/>
    <w:basedOn w:val="Normal"/>
    <w:link w:val="FootnoteTextChar"/>
    <w:uiPriority w:val="99"/>
    <w:semiHidden/>
    <w:unhideWhenUsed/>
    <w:rsid w:val="0042478E"/>
    <w:pPr>
      <w:spacing w:line="240" w:lineRule="auto"/>
    </w:pPr>
    <w:rPr>
      <w:szCs w:val="20"/>
    </w:rPr>
  </w:style>
  <w:style w:type="character" w:customStyle="1" w:styleId="FootnoteTextChar">
    <w:name w:val="Footnote Text Char"/>
    <w:basedOn w:val="DefaultParagraphFont"/>
    <w:link w:val="FootnoteText"/>
    <w:uiPriority w:val="99"/>
    <w:semiHidden/>
    <w:rsid w:val="0042478E"/>
    <w:rPr>
      <w:rFonts w:ascii="Georgia" w:eastAsia="Calibri" w:hAnsi="Georgia" w:cs="Times New Roman"/>
      <w:sz w:val="20"/>
      <w:szCs w:val="20"/>
      <w:lang w:val="en-GB" w:eastAsia="en-US"/>
    </w:rPr>
  </w:style>
  <w:style w:type="character" w:styleId="FootnoteReference">
    <w:name w:val="footnote reference"/>
    <w:basedOn w:val="DefaultParagraphFont"/>
    <w:uiPriority w:val="99"/>
    <w:semiHidden/>
    <w:unhideWhenUsed/>
    <w:rsid w:val="0042478E"/>
    <w:rPr>
      <w:vertAlign w:val="superscript"/>
    </w:rPr>
  </w:style>
  <w:style w:type="paragraph" w:styleId="NoSpacing">
    <w:name w:val="No Spacing"/>
    <w:uiPriority w:val="1"/>
    <w:qFormat/>
    <w:rsid w:val="00EC30C1"/>
    <w:rPr>
      <w:rFonts w:ascii="Georgia" w:hAnsi="Georgia"/>
      <w:szCs w:val="22"/>
      <w:lang w:val="en-GB"/>
    </w:rPr>
  </w:style>
  <w:style w:type="character" w:styleId="CommentReference">
    <w:name w:val="annotation reference"/>
    <w:basedOn w:val="DefaultParagraphFont"/>
    <w:uiPriority w:val="99"/>
    <w:semiHidden/>
    <w:unhideWhenUsed/>
    <w:rsid w:val="007B69E1"/>
    <w:rPr>
      <w:sz w:val="16"/>
      <w:szCs w:val="16"/>
    </w:rPr>
  </w:style>
  <w:style w:type="paragraph" w:styleId="CommentText">
    <w:name w:val="annotation text"/>
    <w:basedOn w:val="Normal"/>
    <w:link w:val="CommentTextChar"/>
    <w:uiPriority w:val="99"/>
    <w:semiHidden/>
    <w:unhideWhenUsed/>
    <w:rsid w:val="007B69E1"/>
    <w:pPr>
      <w:spacing w:line="240" w:lineRule="auto"/>
    </w:pPr>
    <w:rPr>
      <w:szCs w:val="20"/>
    </w:rPr>
  </w:style>
  <w:style w:type="character" w:customStyle="1" w:styleId="CommentTextChar">
    <w:name w:val="Comment Text Char"/>
    <w:basedOn w:val="DefaultParagraphFont"/>
    <w:link w:val="CommentText"/>
    <w:uiPriority w:val="99"/>
    <w:semiHidden/>
    <w:rsid w:val="007B69E1"/>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7B69E1"/>
    <w:rPr>
      <w:b/>
      <w:bCs/>
    </w:rPr>
  </w:style>
  <w:style w:type="character" w:customStyle="1" w:styleId="CommentSubjectChar">
    <w:name w:val="Comment Subject Char"/>
    <w:basedOn w:val="CommentTextChar"/>
    <w:link w:val="CommentSubject"/>
    <w:uiPriority w:val="99"/>
    <w:semiHidden/>
    <w:rsid w:val="007B69E1"/>
    <w:rPr>
      <w:rFonts w:ascii="Georgia" w:hAnsi="Georgia"/>
      <w:b/>
      <w:bCs/>
      <w:sz w:val="20"/>
      <w:szCs w:val="20"/>
      <w:lang w:val="en-GB" w:eastAsia="en-US"/>
    </w:rPr>
  </w:style>
  <w:style w:type="character" w:styleId="FollowedHyperlink">
    <w:name w:val="FollowedHyperlink"/>
    <w:basedOn w:val="DefaultParagraphFont"/>
    <w:uiPriority w:val="99"/>
    <w:semiHidden/>
    <w:unhideWhenUsed/>
    <w:rsid w:val="00614A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Cs w:val="22"/>
      <w:lang w:val="en-GB"/>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u w:val="single"/>
    </w:rPr>
  </w:style>
  <w:style w:type="paragraph" w:styleId="NormalWeb">
    <w:name w:val="Normal (Web)"/>
    <w:basedOn w:val="Normal"/>
    <w:rsid w:val="00D81336"/>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paragraph" w:styleId="FootnoteText">
    <w:name w:val="footnote text"/>
    <w:basedOn w:val="Normal"/>
    <w:link w:val="FootnoteTextChar"/>
    <w:uiPriority w:val="99"/>
    <w:semiHidden/>
    <w:unhideWhenUsed/>
    <w:rsid w:val="0042478E"/>
    <w:pPr>
      <w:spacing w:line="240" w:lineRule="auto"/>
    </w:pPr>
    <w:rPr>
      <w:szCs w:val="20"/>
    </w:rPr>
  </w:style>
  <w:style w:type="character" w:customStyle="1" w:styleId="FootnoteTextChar">
    <w:name w:val="Footnote Text Char"/>
    <w:basedOn w:val="DefaultParagraphFont"/>
    <w:link w:val="FootnoteText"/>
    <w:uiPriority w:val="99"/>
    <w:semiHidden/>
    <w:rsid w:val="0042478E"/>
    <w:rPr>
      <w:rFonts w:ascii="Georgia" w:eastAsia="Calibri" w:hAnsi="Georgia" w:cs="Times New Roman"/>
      <w:sz w:val="20"/>
      <w:szCs w:val="20"/>
      <w:lang w:val="en-GB" w:eastAsia="en-US"/>
    </w:rPr>
  </w:style>
  <w:style w:type="character" w:styleId="FootnoteReference">
    <w:name w:val="footnote reference"/>
    <w:basedOn w:val="DefaultParagraphFont"/>
    <w:uiPriority w:val="99"/>
    <w:semiHidden/>
    <w:unhideWhenUsed/>
    <w:rsid w:val="0042478E"/>
    <w:rPr>
      <w:vertAlign w:val="superscript"/>
    </w:rPr>
  </w:style>
  <w:style w:type="paragraph" w:styleId="NoSpacing">
    <w:name w:val="No Spacing"/>
    <w:uiPriority w:val="1"/>
    <w:qFormat/>
    <w:rsid w:val="00EC30C1"/>
    <w:rPr>
      <w:rFonts w:ascii="Georgia" w:hAnsi="Georgia"/>
      <w:szCs w:val="22"/>
      <w:lang w:val="en-GB"/>
    </w:rPr>
  </w:style>
  <w:style w:type="character" w:styleId="CommentReference">
    <w:name w:val="annotation reference"/>
    <w:basedOn w:val="DefaultParagraphFont"/>
    <w:uiPriority w:val="99"/>
    <w:semiHidden/>
    <w:unhideWhenUsed/>
    <w:rsid w:val="007B69E1"/>
    <w:rPr>
      <w:sz w:val="16"/>
      <w:szCs w:val="16"/>
    </w:rPr>
  </w:style>
  <w:style w:type="paragraph" w:styleId="CommentText">
    <w:name w:val="annotation text"/>
    <w:basedOn w:val="Normal"/>
    <w:link w:val="CommentTextChar"/>
    <w:uiPriority w:val="99"/>
    <w:semiHidden/>
    <w:unhideWhenUsed/>
    <w:rsid w:val="007B69E1"/>
    <w:pPr>
      <w:spacing w:line="240" w:lineRule="auto"/>
    </w:pPr>
    <w:rPr>
      <w:szCs w:val="20"/>
    </w:rPr>
  </w:style>
  <w:style w:type="character" w:customStyle="1" w:styleId="CommentTextChar">
    <w:name w:val="Comment Text Char"/>
    <w:basedOn w:val="DefaultParagraphFont"/>
    <w:link w:val="CommentText"/>
    <w:uiPriority w:val="99"/>
    <w:semiHidden/>
    <w:rsid w:val="007B69E1"/>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7B69E1"/>
    <w:rPr>
      <w:b/>
      <w:bCs/>
    </w:rPr>
  </w:style>
  <w:style w:type="character" w:customStyle="1" w:styleId="CommentSubjectChar">
    <w:name w:val="Comment Subject Char"/>
    <w:basedOn w:val="CommentTextChar"/>
    <w:link w:val="CommentSubject"/>
    <w:uiPriority w:val="99"/>
    <w:semiHidden/>
    <w:rsid w:val="007B69E1"/>
    <w:rPr>
      <w:rFonts w:ascii="Georgia" w:hAnsi="Georgia"/>
      <w:b/>
      <w:bCs/>
      <w:sz w:val="20"/>
      <w:szCs w:val="20"/>
      <w:lang w:val="en-GB" w:eastAsia="en-US"/>
    </w:rPr>
  </w:style>
  <w:style w:type="character" w:styleId="FollowedHyperlink">
    <w:name w:val="FollowedHyperlink"/>
    <w:basedOn w:val="DefaultParagraphFont"/>
    <w:uiPriority w:val="99"/>
    <w:semiHidden/>
    <w:unhideWhenUsed/>
    <w:rsid w:val="00614A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1B0A7-CE42-432B-8597-933CFFBF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2</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PwC</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alayna.francis@us.pwc.com</dc:creator>
  <cp:keywords>TMT, Innovation, Innovators, Technology, Entertainment &amp; Media, Telecommunications</cp:keywords>
  <cp:lastModifiedBy>shelly</cp:lastModifiedBy>
  <cp:revision>3</cp:revision>
  <cp:lastPrinted>2012-10-30T14:35:00Z</cp:lastPrinted>
  <dcterms:created xsi:type="dcterms:W3CDTF">2014-01-24T15:49:00Z</dcterms:created>
  <dcterms:modified xsi:type="dcterms:W3CDTF">2014-01-24T15:50:00Z</dcterms:modified>
</cp:coreProperties>
</file>