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16" w:rsidRDefault="0020371F">
      <w:r>
        <w:rPr>
          <w:noProof/>
          <w:lang w:val="en-US"/>
        </w:rPr>
        <mc:AlternateContent>
          <mc:Choice Requires="wps">
            <w:drawing>
              <wp:anchor distT="0" distB="0" distL="114300" distR="114300" simplePos="0" relativeHeight="251657728" behindDoc="0" locked="1" layoutInCell="1" allowOverlap="1" wp14:anchorId="3F6D0DC1" wp14:editId="55B589BE">
                <wp:simplePos x="0" y="0"/>
                <wp:positionH relativeFrom="page">
                  <wp:posOffset>1115695</wp:posOffset>
                </wp:positionH>
                <wp:positionV relativeFrom="page">
                  <wp:posOffset>9792335</wp:posOffset>
                </wp:positionV>
                <wp:extent cx="5905500" cy="144145"/>
                <wp:effectExtent l="10795" t="10160" r="8255" b="7620"/>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297616" w:rsidRDefault="005E6081">
      <w:pPr>
        <w:pStyle w:val="Title"/>
        <w:spacing w:after="0"/>
        <w:rPr>
          <w:rFonts w:ascii="Georgia" w:hAnsi="Georgia"/>
        </w:rPr>
      </w:pPr>
      <w:r>
        <w:rPr>
          <w:rFonts w:ascii="Georgia" w:hAnsi="Georgia"/>
        </w:rPr>
        <w:t>News release</w:t>
      </w:r>
    </w:p>
    <w:p w:rsidR="00297616" w:rsidRDefault="00297616"/>
    <w:tbl>
      <w:tblPr>
        <w:tblW w:w="0" w:type="auto"/>
        <w:tblLayout w:type="fixed"/>
        <w:tblLook w:val="0000" w:firstRow="0" w:lastRow="0" w:firstColumn="0" w:lastColumn="0" w:noHBand="0" w:noVBand="0"/>
      </w:tblPr>
      <w:tblGrid>
        <w:gridCol w:w="2268"/>
        <w:gridCol w:w="4645"/>
      </w:tblGrid>
      <w:tr w:rsidR="00297616">
        <w:tc>
          <w:tcPr>
            <w:tcW w:w="2268" w:type="dxa"/>
            <w:shd w:val="clear" w:color="auto" w:fill="auto"/>
          </w:tcPr>
          <w:p w:rsidR="00297616" w:rsidRDefault="00864309">
            <w:pPr>
              <w:spacing w:line="240" w:lineRule="auto"/>
              <w:rPr>
                <w:i/>
              </w:rPr>
            </w:pPr>
            <w:r>
              <w:rPr>
                <w:i/>
              </w:rPr>
              <w:t>Date</w:t>
            </w:r>
          </w:p>
        </w:tc>
        <w:tc>
          <w:tcPr>
            <w:tcW w:w="4645" w:type="dxa"/>
            <w:shd w:val="clear" w:color="auto" w:fill="auto"/>
          </w:tcPr>
          <w:p w:rsidR="00297616" w:rsidRDefault="00CF2E32">
            <w:pPr>
              <w:spacing w:line="240" w:lineRule="auto"/>
              <w:rPr>
                <w:color w:val="000000" w:themeColor="text1"/>
              </w:rPr>
            </w:pPr>
            <w:r>
              <w:rPr>
                <w:color w:val="000000" w:themeColor="text1"/>
              </w:rPr>
              <w:t>FOR IMMEDIATE RELEASE:</w:t>
            </w:r>
            <w:r w:rsidR="006E736F">
              <w:rPr>
                <w:color w:val="000000" w:themeColor="text1"/>
              </w:rPr>
              <w:t xml:space="preserve"> 7 November 2013</w:t>
            </w:r>
          </w:p>
        </w:tc>
      </w:tr>
      <w:tr w:rsidR="004C22EC">
        <w:tc>
          <w:tcPr>
            <w:tcW w:w="2268" w:type="dxa"/>
            <w:shd w:val="clear" w:color="auto" w:fill="auto"/>
          </w:tcPr>
          <w:p w:rsidR="004C22EC" w:rsidRDefault="004C22EC">
            <w:pPr>
              <w:spacing w:line="240" w:lineRule="auto"/>
              <w:rPr>
                <w:i/>
              </w:rPr>
            </w:pPr>
          </w:p>
        </w:tc>
        <w:tc>
          <w:tcPr>
            <w:tcW w:w="4645" w:type="dxa"/>
            <w:shd w:val="clear" w:color="auto" w:fill="auto"/>
          </w:tcPr>
          <w:p w:rsidR="004C22EC" w:rsidRDefault="004C22EC">
            <w:pPr>
              <w:spacing w:line="240" w:lineRule="auto"/>
              <w:rPr>
                <w:color w:val="000000" w:themeColor="text1"/>
              </w:rPr>
            </w:pPr>
          </w:p>
        </w:tc>
      </w:tr>
      <w:tr w:rsidR="00297616" w:rsidRPr="00DF13B6">
        <w:tc>
          <w:tcPr>
            <w:tcW w:w="2268" w:type="dxa"/>
            <w:shd w:val="clear" w:color="auto" w:fill="auto"/>
          </w:tcPr>
          <w:p w:rsidR="00297616" w:rsidRDefault="00864309">
            <w:pPr>
              <w:spacing w:line="240" w:lineRule="auto"/>
              <w:rPr>
                <w:i/>
              </w:rPr>
            </w:pPr>
            <w:r>
              <w:rPr>
                <w:i/>
              </w:rPr>
              <w:t>Contact</w:t>
            </w:r>
          </w:p>
        </w:tc>
        <w:tc>
          <w:tcPr>
            <w:tcW w:w="4645" w:type="dxa"/>
            <w:shd w:val="clear" w:color="auto" w:fill="auto"/>
          </w:tcPr>
          <w:p w:rsidR="00297616" w:rsidRDefault="00DF13B6">
            <w:pPr>
              <w:spacing w:line="240" w:lineRule="auto"/>
              <w:rPr>
                <w:lang w:val="it-IT"/>
              </w:rPr>
            </w:pPr>
            <w:r>
              <w:rPr>
                <w:lang w:val="it-IT"/>
              </w:rPr>
              <w:t>Hilary Downes</w:t>
            </w:r>
            <w:r w:rsidR="00864309">
              <w:rPr>
                <w:lang w:val="it-IT"/>
              </w:rPr>
              <w:t xml:space="preserve">, </w:t>
            </w:r>
            <w:r w:rsidR="005204F6">
              <w:rPr>
                <w:lang w:val="it-IT"/>
              </w:rPr>
              <w:t xml:space="preserve">media relations, </w:t>
            </w:r>
            <w:r w:rsidR="00864309">
              <w:rPr>
                <w:lang w:val="it-IT"/>
              </w:rPr>
              <w:t>PwC</w:t>
            </w:r>
          </w:p>
          <w:p w:rsidR="00297616" w:rsidRDefault="00D00C86">
            <w:pPr>
              <w:tabs>
                <w:tab w:val="left" w:pos="1440"/>
              </w:tabs>
              <w:ind w:left="1440" w:hanging="1440"/>
              <w:rPr>
                <w:rFonts w:cs="Arial"/>
                <w:lang w:val="it-IT"/>
              </w:rPr>
            </w:pPr>
            <w:r>
              <w:rPr>
                <w:rFonts w:cs="Arial"/>
                <w:lang w:val="it-IT"/>
              </w:rPr>
              <w:t xml:space="preserve">Tel: +44 207 </w:t>
            </w:r>
            <w:r w:rsidR="00DF13B6">
              <w:rPr>
                <w:rFonts w:cs="Arial"/>
                <w:lang w:val="it-IT"/>
              </w:rPr>
              <w:t>213 4706</w:t>
            </w:r>
            <w:r>
              <w:rPr>
                <w:rFonts w:cs="Arial"/>
                <w:lang w:val="it-IT"/>
              </w:rPr>
              <w:t xml:space="preserve">  /  </w:t>
            </w:r>
            <w:r w:rsidR="00DF13B6">
              <w:rPr>
                <w:rFonts w:cs="Arial"/>
                <w:lang w:val="it-IT"/>
              </w:rPr>
              <w:t>07718 340 113</w:t>
            </w:r>
          </w:p>
          <w:p w:rsidR="00297616" w:rsidRDefault="00864309" w:rsidP="00DF13B6">
            <w:pPr>
              <w:spacing w:line="240" w:lineRule="auto"/>
              <w:rPr>
                <w:rFonts w:cs="Arial"/>
                <w:lang w:val="it-IT"/>
              </w:rPr>
            </w:pPr>
            <w:r>
              <w:rPr>
                <w:rFonts w:cs="Arial"/>
                <w:lang w:val="it-IT"/>
              </w:rPr>
              <w:t xml:space="preserve">e-mail: </w:t>
            </w:r>
            <w:hyperlink r:id="rId9" w:history="1">
              <w:r w:rsidR="00DF13B6" w:rsidRPr="008F7D46">
                <w:rPr>
                  <w:rStyle w:val="Hyperlink"/>
                  <w:rFonts w:cs="Arial"/>
                  <w:lang w:val="it-IT"/>
                </w:rPr>
                <w:t>hilary.n.downes@uk.pwc.com</w:t>
              </w:r>
            </w:hyperlink>
            <w:r>
              <w:rPr>
                <w:rFonts w:cs="Arial"/>
                <w:lang w:val="it-IT"/>
              </w:rPr>
              <w:t xml:space="preserve"> </w:t>
            </w:r>
          </w:p>
          <w:p w:rsidR="004C22EC" w:rsidRDefault="004C22EC" w:rsidP="00DF13B6">
            <w:pPr>
              <w:spacing w:line="240" w:lineRule="auto"/>
              <w:rPr>
                <w:lang w:val="it-IT"/>
              </w:rPr>
            </w:pPr>
          </w:p>
        </w:tc>
      </w:tr>
      <w:tr w:rsidR="00297616">
        <w:tc>
          <w:tcPr>
            <w:tcW w:w="2268" w:type="dxa"/>
            <w:shd w:val="clear" w:color="auto" w:fill="auto"/>
          </w:tcPr>
          <w:p w:rsidR="00297616" w:rsidRDefault="00864309">
            <w:pPr>
              <w:spacing w:line="240" w:lineRule="auto"/>
              <w:rPr>
                <w:i/>
              </w:rPr>
            </w:pPr>
            <w:r>
              <w:rPr>
                <w:i/>
              </w:rPr>
              <w:t xml:space="preserve">Pages </w:t>
            </w:r>
          </w:p>
        </w:tc>
        <w:tc>
          <w:tcPr>
            <w:tcW w:w="4645" w:type="dxa"/>
            <w:shd w:val="clear" w:color="auto" w:fill="auto"/>
          </w:tcPr>
          <w:p w:rsidR="00297616" w:rsidRDefault="00864309">
            <w:pPr>
              <w:spacing w:line="240" w:lineRule="auto"/>
              <w:rPr>
                <w:lang w:eastAsia="zh-CN"/>
              </w:rPr>
            </w:pPr>
            <w:r>
              <w:rPr>
                <w:lang w:eastAsia="zh-CN"/>
              </w:rPr>
              <w:t>2</w:t>
            </w:r>
          </w:p>
          <w:p w:rsidR="00297616" w:rsidRDefault="00297616">
            <w:pPr>
              <w:spacing w:line="240" w:lineRule="auto"/>
            </w:pPr>
          </w:p>
        </w:tc>
      </w:tr>
    </w:tbl>
    <w:p w:rsidR="00297616" w:rsidRDefault="00297616">
      <w:pPr>
        <w:pStyle w:val="Title"/>
        <w:rPr>
          <w:rFonts w:ascii="Georgia" w:eastAsia="SimSun" w:hAnsi="Georgia" w:cs="Arial"/>
          <w:bCs/>
          <w:i w:val="0"/>
          <w:color w:val="auto"/>
          <w:spacing w:val="0"/>
          <w:kern w:val="0"/>
          <w:sz w:val="22"/>
          <w:szCs w:val="22"/>
          <w:lang w:val="en-US"/>
        </w:rPr>
      </w:pPr>
    </w:p>
    <w:p w:rsidR="00352AE7" w:rsidRPr="00DA2436" w:rsidRDefault="00D00C86" w:rsidP="00DA2436">
      <w:pPr>
        <w:autoSpaceDE w:val="0"/>
        <w:autoSpaceDN w:val="0"/>
        <w:adjustRightInd w:val="0"/>
        <w:spacing w:line="240" w:lineRule="auto"/>
        <w:jc w:val="center"/>
        <w:rPr>
          <w:rFonts w:cs="Georgia"/>
          <w:b/>
          <w:bCs/>
          <w:color w:val="000000"/>
          <w:sz w:val="24"/>
          <w:szCs w:val="24"/>
        </w:rPr>
      </w:pPr>
      <w:r w:rsidRPr="00DA2436">
        <w:rPr>
          <w:rFonts w:cs="Georgia"/>
          <w:b/>
          <w:bCs/>
          <w:color w:val="000000"/>
          <w:sz w:val="24"/>
          <w:szCs w:val="24"/>
        </w:rPr>
        <w:t xml:space="preserve">PwC: </w:t>
      </w:r>
      <w:r w:rsidR="00E41CDF" w:rsidRPr="00DA2436">
        <w:rPr>
          <w:rFonts w:cs="Georgia"/>
          <w:b/>
          <w:bCs/>
          <w:color w:val="000000"/>
          <w:sz w:val="24"/>
          <w:szCs w:val="24"/>
        </w:rPr>
        <w:t>T</w:t>
      </w:r>
      <w:r w:rsidRPr="00DA2436">
        <w:rPr>
          <w:rFonts w:cs="Georgia"/>
          <w:b/>
          <w:bCs/>
          <w:color w:val="000000"/>
          <w:sz w:val="24"/>
          <w:szCs w:val="24"/>
        </w:rPr>
        <w:t xml:space="preserve">rade repositories authorised - </w:t>
      </w:r>
      <w:r w:rsidR="00DA2436">
        <w:rPr>
          <w:rFonts w:cs="Georgia"/>
          <w:b/>
          <w:bCs/>
          <w:color w:val="000000"/>
          <w:sz w:val="24"/>
          <w:szCs w:val="24"/>
        </w:rPr>
        <w:br/>
      </w:r>
      <w:r w:rsidR="00E41CDF" w:rsidRPr="00DA2436">
        <w:rPr>
          <w:rFonts w:cs="Georgia"/>
          <w:b/>
          <w:bCs/>
          <w:color w:val="000000"/>
          <w:sz w:val="24"/>
          <w:szCs w:val="24"/>
        </w:rPr>
        <w:t xml:space="preserve">countdown to EMIR </w:t>
      </w:r>
      <w:r w:rsidR="00EF5A33" w:rsidRPr="00DA2436">
        <w:rPr>
          <w:rFonts w:cs="Georgia"/>
          <w:b/>
          <w:bCs/>
          <w:color w:val="000000"/>
          <w:sz w:val="24"/>
          <w:szCs w:val="24"/>
        </w:rPr>
        <w:t xml:space="preserve">reporting </w:t>
      </w:r>
      <w:r w:rsidR="00352AE7" w:rsidRPr="00DA2436">
        <w:rPr>
          <w:rFonts w:cs="Georgia"/>
          <w:b/>
          <w:bCs/>
          <w:color w:val="000000"/>
          <w:sz w:val="24"/>
          <w:szCs w:val="24"/>
        </w:rPr>
        <w:t>begins</w:t>
      </w:r>
      <w:bookmarkStart w:id="0" w:name="_GoBack"/>
      <w:bookmarkEnd w:id="0"/>
    </w:p>
    <w:p w:rsidR="00297616" w:rsidRDefault="00297616" w:rsidP="00A931A0">
      <w:pPr>
        <w:autoSpaceDE w:val="0"/>
        <w:autoSpaceDN w:val="0"/>
        <w:adjustRightInd w:val="0"/>
        <w:spacing w:line="240" w:lineRule="auto"/>
        <w:rPr>
          <w:rFonts w:cs="Georgia"/>
          <w:b/>
          <w:bCs/>
          <w:color w:val="000000"/>
        </w:rPr>
      </w:pPr>
    </w:p>
    <w:p w:rsidR="00D00C86" w:rsidRDefault="004C22EC" w:rsidP="00EE5E34">
      <w:pPr>
        <w:tabs>
          <w:tab w:val="left" w:pos="3660"/>
        </w:tabs>
        <w:autoSpaceDE w:val="0"/>
        <w:autoSpaceDN w:val="0"/>
        <w:adjustRightInd w:val="0"/>
        <w:spacing w:line="240" w:lineRule="auto"/>
        <w:jc w:val="both"/>
        <w:rPr>
          <w:rFonts w:cs="Georgia"/>
        </w:rPr>
      </w:pPr>
      <w:r w:rsidRPr="00DA2436">
        <w:rPr>
          <w:rFonts w:cs="Georgia"/>
          <w:b/>
        </w:rPr>
        <w:t>London, 7 Nov 2013</w:t>
      </w:r>
      <w:r>
        <w:rPr>
          <w:rFonts w:cs="Georgia"/>
        </w:rPr>
        <w:t xml:space="preserve"> </w:t>
      </w:r>
      <w:r>
        <w:rPr>
          <w:rFonts w:cs="Georgia"/>
        </w:rPr>
        <w:noBreakHyphen/>
      </w:r>
      <w:r>
        <w:rPr>
          <w:rFonts w:cs="Georgia"/>
        </w:rPr>
        <w:noBreakHyphen/>
        <w:t xml:space="preserve"> </w:t>
      </w:r>
      <w:r w:rsidR="00034C85" w:rsidRPr="00EE5E34">
        <w:rPr>
          <w:rFonts w:cs="Georgia"/>
        </w:rPr>
        <w:t xml:space="preserve">The </w:t>
      </w:r>
      <w:r w:rsidR="008B0AE0">
        <w:rPr>
          <w:rFonts w:cs="Georgia"/>
        </w:rPr>
        <w:t xml:space="preserve">European Securities and Markets Authorities has today announced that under the European Market and Infrastructure Regulation (EMIR), the </w:t>
      </w:r>
      <w:r w:rsidR="00034C85" w:rsidRPr="00EE5E34">
        <w:rPr>
          <w:rFonts w:cs="Georgia"/>
        </w:rPr>
        <w:t>first trade repositor</w:t>
      </w:r>
      <w:r w:rsidR="00A215DD">
        <w:rPr>
          <w:rFonts w:cs="Georgia"/>
        </w:rPr>
        <w:t>ies</w:t>
      </w:r>
      <w:r w:rsidR="008B0AE0">
        <w:rPr>
          <w:rFonts w:cs="Georgia"/>
        </w:rPr>
        <w:t xml:space="preserve"> will need to begin</w:t>
      </w:r>
      <w:r w:rsidR="000A0AD8">
        <w:rPr>
          <w:rFonts w:cs="Georgia"/>
        </w:rPr>
        <w:t xml:space="preserve"> EMIR</w:t>
      </w:r>
      <w:r w:rsidR="00A215DD">
        <w:rPr>
          <w:rFonts w:cs="Georgia"/>
        </w:rPr>
        <w:t xml:space="preserve"> reporting for all derivative counterparties </w:t>
      </w:r>
      <w:r w:rsidR="008B0AE0">
        <w:rPr>
          <w:rFonts w:cs="Georgia"/>
        </w:rPr>
        <w:t>in</w:t>
      </w:r>
      <w:r w:rsidR="00A215DD">
        <w:rPr>
          <w:rFonts w:cs="Georgia"/>
        </w:rPr>
        <w:t xml:space="preserve"> </w:t>
      </w:r>
      <w:r w:rsidR="00902952">
        <w:rPr>
          <w:rFonts w:cs="Georgia"/>
        </w:rPr>
        <w:t xml:space="preserve">February </w:t>
      </w:r>
      <w:r w:rsidR="00A215DD">
        <w:rPr>
          <w:rFonts w:cs="Georgia"/>
        </w:rPr>
        <w:t xml:space="preserve">2014.  </w:t>
      </w:r>
    </w:p>
    <w:p w:rsidR="00D00C86" w:rsidRDefault="00D00C86" w:rsidP="00EE5E34">
      <w:pPr>
        <w:tabs>
          <w:tab w:val="left" w:pos="3660"/>
        </w:tabs>
        <w:autoSpaceDE w:val="0"/>
        <w:autoSpaceDN w:val="0"/>
        <w:adjustRightInd w:val="0"/>
        <w:spacing w:line="240" w:lineRule="auto"/>
        <w:jc w:val="both"/>
        <w:rPr>
          <w:rFonts w:cs="Georgia"/>
        </w:rPr>
      </w:pPr>
    </w:p>
    <w:p w:rsidR="00034C85" w:rsidRPr="00EE5E34" w:rsidRDefault="000A0AD8" w:rsidP="00EE5E34">
      <w:pPr>
        <w:tabs>
          <w:tab w:val="left" w:pos="3660"/>
        </w:tabs>
        <w:autoSpaceDE w:val="0"/>
        <w:autoSpaceDN w:val="0"/>
        <w:adjustRightInd w:val="0"/>
        <w:spacing w:line="240" w:lineRule="auto"/>
        <w:jc w:val="both"/>
        <w:rPr>
          <w:rFonts w:cs="Georgia"/>
        </w:rPr>
      </w:pPr>
      <w:r>
        <w:rPr>
          <w:rFonts w:cs="Georgia"/>
        </w:rPr>
        <w:t>A</w:t>
      </w:r>
      <w:r w:rsidR="00A931A0">
        <w:rPr>
          <w:rFonts w:cs="Georgia"/>
        </w:rPr>
        <w:t>s a result, a</w:t>
      </w:r>
      <w:r>
        <w:rPr>
          <w:rFonts w:cs="Georgia"/>
        </w:rPr>
        <w:t>ny derivative counterparty in the E</w:t>
      </w:r>
      <w:r w:rsidR="002002F3">
        <w:rPr>
          <w:rFonts w:cs="Georgia"/>
        </w:rPr>
        <w:t xml:space="preserve">uropean </w:t>
      </w:r>
      <w:r>
        <w:rPr>
          <w:rFonts w:cs="Georgia"/>
        </w:rPr>
        <w:t>E</w:t>
      </w:r>
      <w:r w:rsidR="002002F3">
        <w:rPr>
          <w:rFonts w:cs="Georgia"/>
        </w:rPr>
        <w:t xml:space="preserve">conomic </w:t>
      </w:r>
      <w:r>
        <w:rPr>
          <w:rFonts w:cs="Georgia"/>
        </w:rPr>
        <w:t>A</w:t>
      </w:r>
      <w:r w:rsidR="002002F3">
        <w:rPr>
          <w:rFonts w:cs="Georgia"/>
        </w:rPr>
        <w:t>rea (EEA)</w:t>
      </w:r>
      <w:r>
        <w:rPr>
          <w:rFonts w:cs="Georgia"/>
        </w:rPr>
        <w:t xml:space="preserve"> that is subject to EMIR, including corporates and other unregulated market participants, will be required to provide</w:t>
      </w:r>
      <w:r w:rsidR="0003241F">
        <w:rPr>
          <w:rFonts w:cs="Georgia"/>
        </w:rPr>
        <w:t xml:space="preserve"> complex reports</w:t>
      </w:r>
      <w:r w:rsidR="00034C85" w:rsidRPr="00EE5E34">
        <w:rPr>
          <w:rFonts w:cs="Georgia"/>
        </w:rPr>
        <w:t xml:space="preserve"> for </w:t>
      </w:r>
      <w:r>
        <w:rPr>
          <w:rFonts w:cs="Georgia"/>
        </w:rPr>
        <w:t xml:space="preserve">transactions </w:t>
      </w:r>
      <w:r w:rsidR="00902952">
        <w:rPr>
          <w:rFonts w:cs="Georgia"/>
        </w:rPr>
        <w:t>in</w:t>
      </w:r>
      <w:r>
        <w:rPr>
          <w:rFonts w:cs="Georgia"/>
        </w:rPr>
        <w:t xml:space="preserve"> </w:t>
      </w:r>
      <w:r w:rsidR="00034C85" w:rsidRPr="00EE5E34">
        <w:rPr>
          <w:rFonts w:cs="Georgia"/>
        </w:rPr>
        <w:t xml:space="preserve">all </w:t>
      </w:r>
      <w:r w:rsidR="00456932">
        <w:rPr>
          <w:rFonts w:cs="Georgia"/>
        </w:rPr>
        <w:t xml:space="preserve">derivative </w:t>
      </w:r>
      <w:r w:rsidR="00034C85" w:rsidRPr="00EE5E34">
        <w:rPr>
          <w:rFonts w:cs="Georgia"/>
        </w:rPr>
        <w:t xml:space="preserve">asset classes (interest rates, foreign exchange, </w:t>
      </w:r>
      <w:r w:rsidR="00456932">
        <w:rPr>
          <w:rFonts w:cs="Georgia"/>
        </w:rPr>
        <w:t xml:space="preserve">equity, </w:t>
      </w:r>
      <w:r w:rsidR="00034C85" w:rsidRPr="00EE5E34">
        <w:rPr>
          <w:rFonts w:cs="Georgia"/>
        </w:rPr>
        <w:t xml:space="preserve">credit and commodities) </w:t>
      </w:r>
      <w:r w:rsidR="00456932">
        <w:rPr>
          <w:rFonts w:cs="Georgia"/>
        </w:rPr>
        <w:t xml:space="preserve">and </w:t>
      </w:r>
      <w:r w:rsidR="00245153">
        <w:rPr>
          <w:rFonts w:cs="Georgia"/>
        </w:rPr>
        <w:t xml:space="preserve">for </w:t>
      </w:r>
      <w:r w:rsidR="00034C85" w:rsidRPr="00EE5E34">
        <w:rPr>
          <w:rFonts w:cs="Georgia"/>
        </w:rPr>
        <w:t xml:space="preserve">both over-the-counter </w:t>
      </w:r>
      <w:r w:rsidR="008B0AE0">
        <w:rPr>
          <w:rFonts w:cs="Georgia"/>
        </w:rPr>
        <w:t xml:space="preserve">(OTC) </w:t>
      </w:r>
      <w:r w:rsidR="00034C85" w:rsidRPr="00EE5E34">
        <w:rPr>
          <w:rFonts w:cs="Georgia"/>
        </w:rPr>
        <w:t xml:space="preserve">and exchange-traded </w:t>
      </w:r>
      <w:r w:rsidR="00245153">
        <w:rPr>
          <w:rFonts w:cs="Georgia"/>
        </w:rPr>
        <w:t xml:space="preserve">derivatives </w:t>
      </w:r>
      <w:r w:rsidR="00456932">
        <w:rPr>
          <w:rFonts w:cs="Georgia"/>
        </w:rPr>
        <w:t>from</w:t>
      </w:r>
      <w:r w:rsidR="00034C85" w:rsidRPr="00EE5E34">
        <w:rPr>
          <w:rFonts w:cs="Georgia"/>
        </w:rPr>
        <w:t xml:space="preserve"> </w:t>
      </w:r>
      <w:r w:rsidR="0003241F" w:rsidRPr="0003241F">
        <w:rPr>
          <w:rFonts w:cs="Georgia"/>
        </w:rPr>
        <w:t>12</w:t>
      </w:r>
      <w:r w:rsidR="00034C85" w:rsidRPr="0003241F">
        <w:rPr>
          <w:rFonts w:cs="Georgia"/>
        </w:rPr>
        <w:t xml:space="preserve"> February 2014. </w:t>
      </w:r>
    </w:p>
    <w:p w:rsidR="00034C85" w:rsidRPr="00EE5E34" w:rsidRDefault="00034C85" w:rsidP="00EE5E34">
      <w:pPr>
        <w:tabs>
          <w:tab w:val="left" w:pos="3660"/>
        </w:tabs>
        <w:autoSpaceDE w:val="0"/>
        <w:autoSpaceDN w:val="0"/>
        <w:adjustRightInd w:val="0"/>
        <w:spacing w:line="240" w:lineRule="auto"/>
        <w:jc w:val="both"/>
        <w:rPr>
          <w:rFonts w:cs="Georgia"/>
        </w:rPr>
      </w:pPr>
    </w:p>
    <w:p w:rsidR="0004127B" w:rsidRPr="00EE5E34" w:rsidRDefault="00456932" w:rsidP="00EE5E34">
      <w:pPr>
        <w:tabs>
          <w:tab w:val="left" w:pos="3660"/>
        </w:tabs>
        <w:autoSpaceDE w:val="0"/>
        <w:autoSpaceDN w:val="0"/>
        <w:adjustRightInd w:val="0"/>
        <w:spacing w:line="240" w:lineRule="auto"/>
        <w:jc w:val="both"/>
        <w:rPr>
          <w:rFonts w:cs="Georgia"/>
        </w:rPr>
      </w:pPr>
      <w:r>
        <w:rPr>
          <w:rFonts w:cs="Georgia"/>
        </w:rPr>
        <w:t xml:space="preserve">The new reporting obligation will require substantially more detailed information than </w:t>
      </w:r>
      <w:r w:rsidR="000A0AD8">
        <w:rPr>
          <w:rFonts w:cs="Georgia"/>
        </w:rPr>
        <w:t xml:space="preserve">regulated </w:t>
      </w:r>
      <w:r>
        <w:rPr>
          <w:rFonts w:cs="Georgia"/>
        </w:rPr>
        <w:t xml:space="preserve">firms are </w:t>
      </w:r>
      <w:r w:rsidR="000A0AD8">
        <w:rPr>
          <w:rFonts w:cs="Georgia"/>
        </w:rPr>
        <w:t>currently report</w:t>
      </w:r>
      <w:r w:rsidR="00902952">
        <w:rPr>
          <w:rFonts w:cs="Georgia"/>
        </w:rPr>
        <w:t>ing</w:t>
      </w:r>
      <w:r w:rsidR="000A0AD8">
        <w:rPr>
          <w:rFonts w:cs="Georgia"/>
        </w:rPr>
        <w:t xml:space="preserve"> to the F</w:t>
      </w:r>
      <w:r w:rsidR="002002F3">
        <w:rPr>
          <w:rFonts w:cs="Georgia"/>
        </w:rPr>
        <w:t xml:space="preserve">inancial </w:t>
      </w:r>
      <w:r w:rsidR="000A0AD8">
        <w:rPr>
          <w:rFonts w:cs="Georgia"/>
        </w:rPr>
        <w:t>C</w:t>
      </w:r>
      <w:r w:rsidR="002002F3">
        <w:rPr>
          <w:rFonts w:cs="Georgia"/>
        </w:rPr>
        <w:t xml:space="preserve">onduct </w:t>
      </w:r>
      <w:r w:rsidR="000A0AD8">
        <w:rPr>
          <w:rFonts w:cs="Georgia"/>
        </w:rPr>
        <w:t>A</w:t>
      </w:r>
      <w:r w:rsidR="002002F3">
        <w:rPr>
          <w:rFonts w:cs="Georgia"/>
        </w:rPr>
        <w:t>uthority (FCA)</w:t>
      </w:r>
      <w:r w:rsidR="00CF2E32">
        <w:rPr>
          <w:rFonts w:cs="Georgia"/>
        </w:rPr>
        <w:t xml:space="preserve">. </w:t>
      </w:r>
      <w:r w:rsidR="00902952">
        <w:rPr>
          <w:rFonts w:cs="Georgia"/>
        </w:rPr>
        <w:t>Firms will need to manage the new derivative reporting regime in parallel to the existing FCA reporting regime</w:t>
      </w:r>
      <w:r w:rsidR="00CF2E32">
        <w:rPr>
          <w:rFonts w:cs="Georgia"/>
        </w:rPr>
        <w:t xml:space="preserve">. </w:t>
      </w:r>
      <w:r w:rsidR="008C03CE">
        <w:rPr>
          <w:rFonts w:cs="Georgia"/>
        </w:rPr>
        <w:t>C</w:t>
      </w:r>
      <w:r>
        <w:rPr>
          <w:rFonts w:cs="Georgia"/>
        </w:rPr>
        <w:t>orporates an</w:t>
      </w:r>
      <w:r w:rsidR="0016028B">
        <w:rPr>
          <w:rFonts w:cs="Georgia"/>
        </w:rPr>
        <w:t>d unregulated counterparties which</w:t>
      </w:r>
      <w:r>
        <w:rPr>
          <w:rFonts w:cs="Georgia"/>
        </w:rPr>
        <w:t xml:space="preserve"> current</w:t>
      </w:r>
      <w:r w:rsidR="0050759E">
        <w:rPr>
          <w:rFonts w:cs="Georgia"/>
        </w:rPr>
        <w:t>ly have no reporting obligation</w:t>
      </w:r>
      <w:r w:rsidR="00902952">
        <w:rPr>
          <w:rFonts w:cs="Georgia"/>
        </w:rPr>
        <w:t>s</w:t>
      </w:r>
      <w:r w:rsidR="000A0AD8">
        <w:rPr>
          <w:rFonts w:cs="Georgia"/>
        </w:rPr>
        <w:t xml:space="preserve"> must build or </w:t>
      </w:r>
      <w:r w:rsidR="00262FB8">
        <w:rPr>
          <w:rFonts w:cs="Georgia"/>
        </w:rPr>
        <w:t xml:space="preserve">delegate reporting </w:t>
      </w:r>
      <w:r w:rsidR="000A0AD8">
        <w:rPr>
          <w:rFonts w:cs="Georgia"/>
        </w:rPr>
        <w:t xml:space="preserve">to meet </w:t>
      </w:r>
      <w:r w:rsidR="0050759E">
        <w:rPr>
          <w:rFonts w:cs="Georgia"/>
        </w:rPr>
        <w:t>this new requirement</w:t>
      </w:r>
      <w:r>
        <w:rPr>
          <w:rFonts w:cs="Georgia"/>
        </w:rPr>
        <w:t xml:space="preserve">.  </w:t>
      </w:r>
      <w:r w:rsidR="0004127B" w:rsidRPr="00EE5E34">
        <w:rPr>
          <w:rFonts w:cs="Georgia"/>
        </w:rPr>
        <w:t xml:space="preserve">  </w:t>
      </w:r>
    </w:p>
    <w:p w:rsidR="00297616" w:rsidRPr="00EE5E34" w:rsidRDefault="00297616" w:rsidP="00EE5E34">
      <w:pPr>
        <w:tabs>
          <w:tab w:val="left" w:pos="3660"/>
        </w:tabs>
        <w:autoSpaceDE w:val="0"/>
        <w:autoSpaceDN w:val="0"/>
        <w:adjustRightInd w:val="0"/>
        <w:spacing w:line="240" w:lineRule="auto"/>
        <w:jc w:val="both"/>
        <w:rPr>
          <w:rFonts w:cs="Georgia"/>
        </w:rPr>
      </w:pPr>
    </w:p>
    <w:p w:rsidR="00297616" w:rsidRPr="00EE5E34" w:rsidRDefault="00864309" w:rsidP="00EE5E3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bCs/>
          <w:szCs w:val="20"/>
          <w:lang w:eastAsia="zh-CN"/>
        </w:rPr>
      </w:pPr>
      <w:r w:rsidRPr="004C22EC">
        <w:rPr>
          <w:rFonts w:cs="Arial"/>
          <w:bCs/>
          <w:szCs w:val="20"/>
          <w:lang w:eastAsia="zh-CN"/>
        </w:rPr>
        <w:t>Crispian Lord,</w:t>
      </w:r>
      <w:r w:rsidR="0020371F" w:rsidRPr="004C22EC">
        <w:rPr>
          <w:rFonts w:cs="Arial"/>
          <w:bCs/>
          <w:szCs w:val="20"/>
          <w:lang w:eastAsia="zh-CN"/>
        </w:rPr>
        <w:t xml:space="preserve"> regulation partner at PwC, sa</w:t>
      </w:r>
      <w:r w:rsidR="00CF2E32" w:rsidRPr="004C22EC">
        <w:rPr>
          <w:rFonts w:cs="Arial"/>
          <w:bCs/>
          <w:szCs w:val="20"/>
          <w:lang w:eastAsia="zh-CN"/>
        </w:rPr>
        <w:t>id</w:t>
      </w:r>
      <w:r w:rsidRPr="004C22EC">
        <w:rPr>
          <w:rFonts w:cs="Arial"/>
          <w:bCs/>
          <w:szCs w:val="20"/>
          <w:lang w:eastAsia="zh-CN"/>
        </w:rPr>
        <w:t>:</w:t>
      </w:r>
    </w:p>
    <w:p w:rsidR="00297616" w:rsidRPr="00EE5E34" w:rsidRDefault="00297616" w:rsidP="00EE5E34">
      <w:pPr>
        <w:tabs>
          <w:tab w:val="left" w:pos="3660"/>
        </w:tabs>
        <w:autoSpaceDE w:val="0"/>
        <w:autoSpaceDN w:val="0"/>
        <w:adjustRightInd w:val="0"/>
        <w:spacing w:line="240" w:lineRule="auto"/>
        <w:jc w:val="both"/>
        <w:rPr>
          <w:rFonts w:cs="Georgia"/>
        </w:rPr>
      </w:pPr>
    </w:p>
    <w:p w:rsidR="00D00C86" w:rsidRDefault="00864309" w:rsidP="008B0AE0">
      <w:pPr>
        <w:tabs>
          <w:tab w:val="left" w:pos="3660"/>
        </w:tabs>
        <w:autoSpaceDE w:val="0"/>
        <w:autoSpaceDN w:val="0"/>
        <w:adjustRightInd w:val="0"/>
        <w:spacing w:line="240" w:lineRule="auto"/>
        <w:ind w:left="284"/>
        <w:jc w:val="both"/>
        <w:rPr>
          <w:rFonts w:cs="Georgia"/>
        </w:rPr>
      </w:pPr>
      <w:r w:rsidRPr="00EE5E34">
        <w:rPr>
          <w:rFonts w:cs="Georgia"/>
        </w:rPr>
        <w:t>“</w:t>
      </w:r>
      <w:r w:rsidR="008B0AE0">
        <w:rPr>
          <w:rFonts w:cs="Georgia"/>
        </w:rPr>
        <w:t xml:space="preserve">Firms only have a few months to get to grips with this new regulation and there are significant risks to getting it wrong. It </w:t>
      </w:r>
      <w:r w:rsidR="00D10337">
        <w:rPr>
          <w:rFonts w:cs="Georgia"/>
        </w:rPr>
        <w:t xml:space="preserve">may seem fairly straightforward, but the extent of the data required is troubling many in the market and experience shows that it doesn’t take much to get this reporting wrong, with significant consequences. </w:t>
      </w:r>
    </w:p>
    <w:p w:rsidR="00D00C86" w:rsidRDefault="00D00C86" w:rsidP="008B0AE0">
      <w:pPr>
        <w:tabs>
          <w:tab w:val="left" w:pos="3660"/>
        </w:tabs>
        <w:autoSpaceDE w:val="0"/>
        <w:autoSpaceDN w:val="0"/>
        <w:adjustRightInd w:val="0"/>
        <w:spacing w:line="240" w:lineRule="auto"/>
        <w:ind w:left="284"/>
        <w:jc w:val="both"/>
        <w:rPr>
          <w:rFonts w:cs="Georgia"/>
        </w:rPr>
      </w:pPr>
    </w:p>
    <w:p w:rsidR="00D10337" w:rsidRDefault="00D00C86" w:rsidP="008B0AE0">
      <w:pPr>
        <w:tabs>
          <w:tab w:val="left" w:pos="3660"/>
        </w:tabs>
        <w:autoSpaceDE w:val="0"/>
        <w:autoSpaceDN w:val="0"/>
        <w:adjustRightInd w:val="0"/>
        <w:spacing w:line="240" w:lineRule="auto"/>
        <w:ind w:left="284"/>
        <w:jc w:val="both"/>
        <w:rPr>
          <w:rFonts w:cs="Georgia"/>
        </w:rPr>
      </w:pPr>
      <w:r>
        <w:rPr>
          <w:rFonts w:cs="Georgia"/>
        </w:rPr>
        <w:t>“</w:t>
      </w:r>
      <w:r w:rsidR="00AB691D" w:rsidRPr="00EE5E34">
        <w:rPr>
          <w:rFonts w:cs="Georgia"/>
        </w:rPr>
        <w:t>The internal system interactions can be complex and vulnerable to corruption from direct and contingent system changes.</w:t>
      </w:r>
      <w:r w:rsidR="00CF2E32">
        <w:rPr>
          <w:rFonts w:cs="Georgia"/>
        </w:rPr>
        <w:t xml:space="preserve"> </w:t>
      </w:r>
      <w:r w:rsidR="00D10337">
        <w:rPr>
          <w:rFonts w:cs="Georgia"/>
        </w:rPr>
        <w:t>As such, reporting parties need to ensure that there are control processes to identify errors. Also, where you plan</w:t>
      </w:r>
      <w:r w:rsidR="00CF2E32">
        <w:rPr>
          <w:rFonts w:cs="Georgia"/>
        </w:rPr>
        <w:t xml:space="preserve"> to</w:t>
      </w:r>
      <w:r w:rsidR="00D10337">
        <w:rPr>
          <w:rFonts w:cs="Georgia"/>
        </w:rPr>
        <w:t xml:space="preserve"> delegate the reporting function to a third party, this does not delegate the responsibility of getting it right. </w:t>
      </w:r>
    </w:p>
    <w:p w:rsidR="00D10337" w:rsidRDefault="00D10337" w:rsidP="00EE5E34">
      <w:pPr>
        <w:tabs>
          <w:tab w:val="left" w:pos="3660"/>
        </w:tabs>
        <w:autoSpaceDE w:val="0"/>
        <w:autoSpaceDN w:val="0"/>
        <w:adjustRightInd w:val="0"/>
        <w:spacing w:line="240" w:lineRule="auto"/>
        <w:ind w:left="284"/>
        <w:jc w:val="both"/>
        <w:rPr>
          <w:rFonts w:cs="Georgia"/>
        </w:rPr>
      </w:pPr>
    </w:p>
    <w:p w:rsidR="00297616" w:rsidRPr="00EE5E34" w:rsidRDefault="005204F6" w:rsidP="00EE5E34">
      <w:pPr>
        <w:tabs>
          <w:tab w:val="left" w:pos="3660"/>
        </w:tabs>
        <w:autoSpaceDE w:val="0"/>
        <w:autoSpaceDN w:val="0"/>
        <w:adjustRightInd w:val="0"/>
        <w:spacing w:line="240" w:lineRule="auto"/>
        <w:ind w:left="284"/>
        <w:jc w:val="both"/>
        <w:rPr>
          <w:rFonts w:cs="Georgia"/>
        </w:rPr>
      </w:pPr>
      <w:r>
        <w:rPr>
          <w:rFonts w:cs="Georgia"/>
        </w:rPr>
        <w:t>“</w:t>
      </w:r>
      <w:r w:rsidR="00D10337">
        <w:rPr>
          <w:rFonts w:cs="Georgia"/>
        </w:rPr>
        <w:t xml:space="preserve">Our work in the market over the past few years with clients found that the fines levied for incorrect transaction reporting can be substantial, but the remediation costs and management time associated with these issues </w:t>
      </w:r>
      <w:r w:rsidR="008B0AE0">
        <w:rPr>
          <w:rFonts w:cs="Georgia"/>
        </w:rPr>
        <w:t xml:space="preserve">can </w:t>
      </w:r>
      <w:r w:rsidR="00D10337">
        <w:rPr>
          <w:rFonts w:cs="Georgia"/>
        </w:rPr>
        <w:t xml:space="preserve">result in costs that are many multiples of the </w:t>
      </w:r>
      <w:proofErr w:type="gramStart"/>
      <w:r w:rsidR="00D10337">
        <w:rPr>
          <w:rFonts w:cs="Georgia"/>
        </w:rPr>
        <w:t>fine</w:t>
      </w:r>
      <w:proofErr w:type="gramEnd"/>
      <w:r w:rsidR="00D10337">
        <w:rPr>
          <w:rFonts w:cs="Georgia"/>
        </w:rPr>
        <w:t>.</w:t>
      </w:r>
      <w:r w:rsidR="008B0AE0">
        <w:rPr>
          <w:rFonts w:cs="Georgia"/>
        </w:rPr>
        <w:t xml:space="preserve">” </w:t>
      </w:r>
    </w:p>
    <w:p w:rsidR="00297616" w:rsidRDefault="0029761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bCs/>
          <w:color w:val="000000"/>
          <w:szCs w:val="20"/>
          <w:lang w:eastAsia="zh-CN"/>
        </w:rPr>
      </w:pPr>
    </w:p>
    <w:p w:rsidR="00297616" w:rsidRDefault="00864309" w:rsidP="00D00C86">
      <w:pPr>
        <w:autoSpaceDE w:val="0"/>
        <w:autoSpaceDN w:val="0"/>
        <w:adjustRightInd w:val="0"/>
        <w:spacing w:line="276" w:lineRule="auto"/>
        <w:rPr>
          <w:rFonts w:eastAsia="PMingLiU"/>
          <w:b/>
          <w:szCs w:val="20"/>
        </w:rPr>
      </w:pPr>
      <w:r>
        <w:rPr>
          <w:rFonts w:eastAsia="PMingLiU"/>
          <w:b/>
          <w:szCs w:val="20"/>
        </w:rPr>
        <w:t>END</w:t>
      </w:r>
    </w:p>
    <w:p w:rsidR="004C22EC" w:rsidRDefault="004C22EC">
      <w:pPr>
        <w:spacing w:line="240" w:lineRule="auto"/>
        <w:rPr>
          <w:rFonts w:cs="Georgia"/>
        </w:rPr>
      </w:pPr>
      <w:r>
        <w:rPr>
          <w:rFonts w:cs="Georgia"/>
        </w:rPr>
        <w:br w:type="page"/>
      </w:r>
    </w:p>
    <w:p w:rsidR="005204F6" w:rsidRPr="00EE5E34" w:rsidRDefault="005204F6" w:rsidP="005204F6">
      <w:pPr>
        <w:tabs>
          <w:tab w:val="left" w:pos="3660"/>
        </w:tabs>
        <w:autoSpaceDE w:val="0"/>
        <w:autoSpaceDN w:val="0"/>
        <w:adjustRightInd w:val="0"/>
        <w:spacing w:line="240" w:lineRule="auto"/>
        <w:jc w:val="both"/>
        <w:rPr>
          <w:rFonts w:cs="Georgia"/>
        </w:rPr>
      </w:pPr>
    </w:p>
    <w:p w:rsidR="00A53F38" w:rsidRPr="00D00C86" w:rsidRDefault="00A53F38" w:rsidP="00D00C86">
      <w:pPr>
        <w:pStyle w:val="ListParagraph"/>
        <w:numPr>
          <w:ilvl w:val="0"/>
          <w:numId w:val="12"/>
        </w:numPr>
        <w:tabs>
          <w:tab w:val="left" w:pos="3660"/>
        </w:tabs>
        <w:autoSpaceDE w:val="0"/>
        <w:autoSpaceDN w:val="0"/>
        <w:adjustRightInd w:val="0"/>
        <w:jc w:val="both"/>
        <w:rPr>
          <w:rFonts w:ascii="Georgia" w:hAnsi="Georgia" w:cs="Georgia"/>
          <w:sz w:val="20"/>
          <w:szCs w:val="20"/>
        </w:rPr>
      </w:pPr>
      <w:r w:rsidRPr="00D00C86">
        <w:rPr>
          <w:rFonts w:ascii="Georgia" w:hAnsi="Georgia" w:cs="Georgia"/>
          <w:sz w:val="20"/>
          <w:szCs w:val="20"/>
        </w:rPr>
        <w:t xml:space="preserve">ESMA’s </w:t>
      </w:r>
      <w:r w:rsidR="00DF13B6">
        <w:rPr>
          <w:rFonts w:ascii="Georgia" w:hAnsi="Georgia" w:cs="Georgia"/>
          <w:sz w:val="20"/>
          <w:szCs w:val="20"/>
        </w:rPr>
        <w:t xml:space="preserve">announcement can be found </w:t>
      </w:r>
      <w:hyperlink r:id="rId10" w:history="1">
        <w:r w:rsidR="00DF13B6" w:rsidRPr="00DF13B6">
          <w:rPr>
            <w:rStyle w:val="Hyperlink"/>
            <w:rFonts w:ascii="Georgia" w:hAnsi="Georgia" w:cs="Georgia"/>
            <w:sz w:val="20"/>
            <w:szCs w:val="20"/>
          </w:rPr>
          <w:t>here</w:t>
        </w:r>
      </w:hyperlink>
    </w:p>
    <w:p w:rsidR="00A53F38" w:rsidRPr="00D00C86" w:rsidRDefault="00A53F38" w:rsidP="005204F6">
      <w:pPr>
        <w:tabs>
          <w:tab w:val="left" w:pos="3660"/>
        </w:tabs>
        <w:autoSpaceDE w:val="0"/>
        <w:autoSpaceDN w:val="0"/>
        <w:adjustRightInd w:val="0"/>
        <w:spacing w:line="240" w:lineRule="auto"/>
        <w:jc w:val="both"/>
        <w:rPr>
          <w:rFonts w:cs="Georgia"/>
          <w:szCs w:val="20"/>
        </w:rPr>
      </w:pPr>
    </w:p>
    <w:p w:rsidR="005204F6" w:rsidRPr="00D00C86" w:rsidRDefault="005204F6" w:rsidP="00D00C86">
      <w:pPr>
        <w:pStyle w:val="ListParagraph"/>
        <w:numPr>
          <w:ilvl w:val="0"/>
          <w:numId w:val="12"/>
        </w:numPr>
        <w:tabs>
          <w:tab w:val="left" w:pos="3660"/>
        </w:tabs>
        <w:autoSpaceDE w:val="0"/>
        <w:autoSpaceDN w:val="0"/>
        <w:adjustRightInd w:val="0"/>
        <w:jc w:val="both"/>
        <w:rPr>
          <w:rFonts w:ascii="Georgia" w:hAnsi="Georgia" w:cs="Georgia"/>
          <w:sz w:val="20"/>
          <w:szCs w:val="20"/>
        </w:rPr>
      </w:pPr>
      <w:r w:rsidRPr="00D00C86">
        <w:rPr>
          <w:rFonts w:ascii="Georgia" w:hAnsi="Georgia" w:cs="Georgia"/>
          <w:sz w:val="20"/>
          <w:szCs w:val="20"/>
        </w:rPr>
        <w:t xml:space="preserve">EMIR fulfils several of the </w:t>
      </w:r>
      <w:r w:rsidR="008B0AE0" w:rsidRPr="00D00C86">
        <w:rPr>
          <w:rFonts w:ascii="Georgia" w:hAnsi="Georgia" w:cs="Georgia"/>
          <w:sz w:val="20"/>
          <w:szCs w:val="20"/>
        </w:rPr>
        <w:t>Over the Counter (</w:t>
      </w:r>
      <w:r w:rsidRPr="00D00C86">
        <w:rPr>
          <w:rFonts w:ascii="Georgia" w:hAnsi="Georgia" w:cs="Georgia"/>
          <w:sz w:val="20"/>
          <w:szCs w:val="20"/>
        </w:rPr>
        <w:t>OTC</w:t>
      </w:r>
      <w:r w:rsidR="008B0AE0" w:rsidRPr="00D00C86">
        <w:rPr>
          <w:rFonts w:ascii="Georgia" w:hAnsi="Georgia" w:cs="Georgia"/>
          <w:sz w:val="20"/>
          <w:szCs w:val="20"/>
        </w:rPr>
        <w:t>)</w:t>
      </w:r>
      <w:r w:rsidRPr="00D00C86">
        <w:rPr>
          <w:rFonts w:ascii="Georgia" w:hAnsi="Georgia" w:cs="Georgia"/>
          <w:sz w:val="20"/>
          <w:szCs w:val="20"/>
        </w:rPr>
        <w:t xml:space="preserve"> derivative market reforms agreed by G20 countries to reduce systemic risk and bring more transparency to both OTC and listed derivatives markets. The EMIR reporting obligation</w:t>
      </w:r>
      <w:r w:rsidR="008B0AE0" w:rsidRPr="00D00C86">
        <w:rPr>
          <w:rFonts w:ascii="Georgia" w:hAnsi="Georgia" w:cs="Georgia"/>
          <w:sz w:val="20"/>
          <w:szCs w:val="20"/>
        </w:rPr>
        <w:t xml:space="preserve"> is</w:t>
      </w:r>
      <w:r w:rsidRPr="00D00C86">
        <w:rPr>
          <w:rFonts w:ascii="Georgia" w:hAnsi="Georgia" w:cs="Georgia"/>
          <w:sz w:val="20"/>
          <w:szCs w:val="20"/>
        </w:rPr>
        <w:t xml:space="preserve"> designed to give regulators a comprehensive view of derivative trading conducted in the EEA. </w:t>
      </w:r>
      <w:proofErr w:type="gramStart"/>
      <w:r w:rsidRPr="00D00C86">
        <w:rPr>
          <w:rFonts w:ascii="Georgia" w:hAnsi="Georgia" w:cs="Georgia"/>
          <w:sz w:val="20"/>
          <w:szCs w:val="20"/>
        </w:rPr>
        <w:t>Every derivative counterparty</w:t>
      </w:r>
      <w:proofErr w:type="gramEnd"/>
      <w:r w:rsidRPr="00D00C86">
        <w:rPr>
          <w:rFonts w:ascii="Georgia" w:hAnsi="Georgia" w:cs="Georgia"/>
          <w:sz w:val="20"/>
          <w:szCs w:val="20"/>
        </w:rPr>
        <w:t xml:space="preserve"> will be required to submit a report to an EMIR authorised trade repository when it enters into, modifies, or terminates a contract.  Trade repositories would then be required to ensure that the trades are reconciled. </w:t>
      </w:r>
    </w:p>
    <w:p w:rsidR="005204F6" w:rsidRDefault="005204F6">
      <w:pPr>
        <w:spacing w:line="240" w:lineRule="auto"/>
        <w:rPr>
          <w:rFonts w:ascii="Arial" w:hAnsi="Arial"/>
          <w:b/>
          <w:sz w:val="18"/>
          <w:szCs w:val="18"/>
        </w:rPr>
      </w:pPr>
    </w:p>
    <w:p w:rsidR="00297616" w:rsidRDefault="00864309">
      <w:pPr>
        <w:autoSpaceDE w:val="0"/>
        <w:autoSpaceDN w:val="0"/>
        <w:adjustRightInd w:val="0"/>
        <w:jc w:val="both"/>
        <w:rPr>
          <w:rFonts w:cs="Verdana"/>
          <w:b/>
          <w:bCs/>
          <w:color w:val="000000"/>
          <w:sz w:val="18"/>
          <w:szCs w:val="18"/>
          <w:lang w:eastAsia="zh-CN"/>
        </w:rPr>
      </w:pPr>
      <w:r>
        <w:rPr>
          <w:rFonts w:cs="Verdana"/>
          <w:b/>
          <w:bCs/>
          <w:color w:val="000000"/>
          <w:sz w:val="18"/>
          <w:szCs w:val="18"/>
          <w:lang w:eastAsia="zh-CN"/>
        </w:rPr>
        <w:t>About PwC</w:t>
      </w:r>
    </w:p>
    <w:p w:rsidR="008B0AE0" w:rsidRPr="008B0AE0" w:rsidRDefault="008B0AE0" w:rsidP="008B0AE0">
      <w:pPr>
        <w:pStyle w:val="BodyText"/>
        <w:spacing w:line="276" w:lineRule="auto"/>
        <w:rPr>
          <w:rFonts w:cs="Helv"/>
          <w:sz w:val="18"/>
          <w:szCs w:val="18"/>
          <w:lang w:eastAsia="en-GB"/>
        </w:rPr>
      </w:pPr>
      <w:r w:rsidRPr="008B0AE0">
        <w:rPr>
          <w:rFonts w:cs="Helv"/>
          <w:sz w:val="18"/>
          <w:szCs w:val="18"/>
          <w:lang w:eastAsia="en-GB"/>
        </w:rPr>
        <w:t>PwC helps organisations and individuals create the value they’re looking for. We’re a network of firms in 157 countries with more than 184,000 people who are committed to delivering quality in assurance, tax and advisory services. Tell us what matters to you and find out more</w:t>
      </w:r>
      <w:r>
        <w:rPr>
          <w:rFonts w:cs="Helv"/>
          <w:sz w:val="18"/>
          <w:szCs w:val="18"/>
          <w:lang w:eastAsia="en-GB"/>
        </w:rPr>
        <w:t xml:space="preserve"> by visiting us at www.pwc.com.</w:t>
      </w:r>
    </w:p>
    <w:p w:rsidR="008B0AE0" w:rsidRPr="008B0AE0" w:rsidRDefault="008B0AE0" w:rsidP="008B0AE0">
      <w:pPr>
        <w:pStyle w:val="BodyText"/>
        <w:spacing w:line="276" w:lineRule="auto"/>
        <w:rPr>
          <w:rFonts w:cs="Helv"/>
          <w:sz w:val="18"/>
          <w:szCs w:val="18"/>
          <w:lang w:eastAsia="en-GB"/>
        </w:rPr>
      </w:pPr>
      <w:r>
        <w:rPr>
          <w:rFonts w:cs="Helv"/>
          <w:sz w:val="18"/>
          <w:szCs w:val="18"/>
          <w:lang w:eastAsia="en-GB"/>
        </w:rPr>
        <w:t>© 2013 PwC. All rights reserved</w:t>
      </w:r>
    </w:p>
    <w:p w:rsidR="008B0AE0" w:rsidRDefault="008B0AE0" w:rsidP="008B0AE0">
      <w:pPr>
        <w:pStyle w:val="BodyText"/>
        <w:spacing w:after="0" w:line="276" w:lineRule="auto"/>
        <w:rPr>
          <w:rFonts w:cs="Helv"/>
          <w:sz w:val="18"/>
          <w:szCs w:val="18"/>
          <w:lang w:eastAsia="en-GB"/>
        </w:rPr>
      </w:pPr>
      <w:r w:rsidRPr="008B0AE0">
        <w:rPr>
          <w:rFonts w:cs="Helv"/>
          <w:sz w:val="18"/>
          <w:szCs w:val="18"/>
          <w:lang w:eastAsia="en-GB"/>
        </w:rPr>
        <w:t>PwC refers to the PwC network and/or one or more of its member firms, each of which is a separate legal entity. Please see www.pwc.com/structure for further details.</w:t>
      </w:r>
    </w:p>
    <w:p w:rsidR="008B0AE0" w:rsidRDefault="008B0AE0" w:rsidP="008B0AE0">
      <w:pPr>
        <w:pStyle w:val="BodyText"/>
        <w:spacing w:after="0" w:line="276" w:lineRule="auto"/>
        <w:rPr>
          <w:rFonts w:cs="Helv"/>
          <w:sz w:val="18"/>
          <w:szCs w:val="18"/>
          <w:lang w:eastAsia="en-GB"/>
        </w:rPr>
      </w:pPr>
    </w:p>
    <w:p w:rsidR="00297616" w:rsidRDefault="00297616">
      <w:pPr>
        <w:tabs>
          <w:tab w:val="left" w:pos="6615"/>
        </w:tabs>
        <w:jc w:val="both"/>
      </w:pPr>
    </w:p>
    <w:sectPr w:rsidR="00297616" w:rsidSect="00297616">
      <w:headerReference w:type="even" r:id="rId11"/>
      <w:headerReference w:type="default" r:id="rId12"/>
      <w:footerReference w:type="even" r:id="rId13"/>
      <w:footerReference w:type="default" r:id="rId14"/>
      <w:headerReference w:type="first" r:id="rId15"/>
      <w:pgSz w:w="11907" w:h="16839" w:code="9"/>
      <w:pgMar w:top="2892" w:right="1797" w:bottom="1440"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35" w:rsidRDefault="003B6E35">
      <w:pPr>
        <w:spacing w:line="240" w:lineRule="auto"/>
      </w:pPr>
      <w:r>
        <w:separator/>
      </w:r>
    </w:p>
  </w:endnote>
  <w:endnote w:type="continuationSeparator" w:id="0">
    <w:p w:rsidR="003B6E35" w:rsidRDefault="003B6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864309">
      <w:rPr>
        <w:noProof/>
      </w:rPr>
      <w:t>2</w:t>
    </w:r>
    <w:r>
      <w:rPr>
        <w:noProof/>
      </w:rPr>
      <w:fldChar w:fldCharType="end"/>
    </w:r>
    <w:r w:rsidR="00864309">
      <w:t xml:space="preserve"> of </w:t>
    </w:r>
    <w:r w:rsidR="003B6E35">
      <w:fldChar w:fldCharType="begin"/>
    </w:r>
    <w:r w:rsidR="003B6E35">
      <w:instrText xml:space="preserve"> NUMPAGES  \* MERGEFORMAT </w:instrText>
    </w:r>
    <w:r w:rsidR="003B6E35">
      <w:fldChar w:fldCharType="separate"/>
    </w:r>
    <w:r w:rsidR="00DA2436">
      <w:rPr>
        <w:noProof/>
      </w:rPr>
      <w:t>2</w:t>
    </w:r>
    <w:r w:rsidR="003B6E3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809E9">
    <w:pPr>
      <w:pStyle w:val="Footer"/>
    </w:pPr>
    <w:r>
      <w:fldChar w:fldCharType="begin"/>
    </w:r>
    <w:r>
      <w:instrText xml:space="preserve"> PAGE  \* MERGEFORMAT </w:instrText>
    </w:r>
    <w:r>
      <w:fldChar w:fldCharType="separate"/>
    </w:r>
    <w:r w:rsidR="00DA2436">
      <w:rPr>
        <w:noProof/>
      </w:rPr>
      <w:t>2</w:t>
    </w:r>
    <w:r>
      <w:rPr>
        <w:noProof/>
      </w:rPr>
      <w:fldChar w:fldCharType="end"/>
    </w:r>
    <w:r w:rsidR="00864309">
      <w:t xml:space="preserve"> of </w:t>
    </w:r>
    <w:r w:rsidR="003B6E35">
      <w:fldChar w:fldCharType="begin"/>
    </w:r>
    <w:r w:rsidR="003B6E35">
      <w:instrText xml:space="preserve"> NUMPAGES  \* MERGEFORMAT </w:instrText>
    </w:r>
    <w:r w:rsidR="003B6E35">
      <w:fldChar w:fldCharType="separate"/>
    </w:r>
    <w:r w:rsidR="00DA2436">
      <w:rPr>
        <w:noProof/>
      </w:rPr>
      <w:t>2</w:t>
    </w:r>
    <w:r w:rsidR="003B6E3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35" w:rsidRDefault="003B6E35">
      <w:pPr>
        <w:spacing w:line="240" w:lineRule="auto"/>
      </w:pPr>
      <w:r>
        <w:separator/>
      </w:r>
    </w:p>
  </w:footnote>
  <w:footnote w:type="continuationSeparator" w:id="0">
    <w:p w:rsidR="003B6E35" w:rsidRDefault="003B6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297616">
    <w:pPr>
      <w:pStyle w:val="Header"/>
    </w:pPr>
  </w:p>
  <w:p w:rsidR="00297616" w:rsidRDefault="0029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16" w:rsidRDefault="00864309">
    <w:pPr>
      <w:pStyle w:val="Header"/>
    </w:pPr>
    <w:r>
      <w:rPr>
        <w:rFonts w:eastAsia="Calibri"/>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30A"/>
    <w:multiLevelType w:val="hybridMultilevel"/>
    <w:tmpl w:val="1C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7305"/>
    <w:multiLevelType w:val="hybridMultilevel"/>
    <w:tmpl w:val="906C05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8B7FD5"/>
    <w:multiLevelType w:val="hybridMultilevel"/>
    <w:tmpl w:val="C85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67233"/>
    <w:multiLevelType w:val="hybridMultilevel"/>
    <w:tmpl w:val="1FC2D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5">
    <w:nsid w:val="308928F1"/>
    <w:multiLevelType w:val="hybridMultilevel"/>
    <w:tmpl w:val="2444C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3D7C91"/>
    <w:multiLevelType w:val="hybridMultilevel"/>
    <w:tmpl w:val="45961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0CC1813"/>
    <w:multiLevelType w:val="multilevel"/>
    <w:tmpl w:val="6B8A01D6"/>
    <w:numStyleLink w:val="TableListNumber"/>
  </w:abstractNum>
  <w:abstractNum w:abstractNumId="8">
    <w:nsid w:val="538965F7"/>
    <w:multiLevelType w:val="hybridMultilevel"/>
    <w:tmpl w:val="18E67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96005D"/>
    <w:multiLevelType w:val="hybridMultilevel"/>
    <w:tmpl w:val="4A202552"/>
    <w:lvl w:ilvl="0" w:tplc="FEACAE28">
      <w:start w:val="1"/>
      <w:numFmt w:val="bullet"/>
      <w:lvlText w:val="•"/>
      <w:lvlJc w:val="left"/>
      <w:pPr>
        <w:tabs>
          <w:tab w:val="num" w:pos="720"/>
        </w:tabs>
        <w:ind w:left="720" w:hanging="360"/>
      </w:pPr>
      <w:rPr>
        <w:rFonts w:ascii="Georgia" w:hAnsi="Georgia" w:hint="default"/>
      </w:rPr>
    </w:lvl>
    <w:lvl w:ilvl="1" w:tplc="EA24249A">
      <w:start w:val="1"/>
      <w:numFmt w:val="bullet"/>
      <w:lvlText w:val="•"/>
      <w:lvlJc w:val="left"/>
      <w:pPr>
        <w:tabs>
          <w:tab w:val="num" w:pos="1440"/>
        </w:tabs>
        <w:ind w:left="1440" w:hanging="360"/>
      </w:pPr>
      <w:rPr>
        <w:rFonts w:ascii="Georgia" w:hAnsi="Georgia" w:hint="default"/>
      </w:rPr>
    </w:lvl>
    <w:lvl w:ilvl="2" w:tplc="78A846CE" w:tentative="1">
      <w:start w:val="1"/>
      <w:numFmt w:val="bullet"/>
      <w:lvlText w:val="•"/>
      <w:lvlJc w:val="left"/>
      <w:pPr>
        <w:tabs>
          <w:tab w:val="num" w:pos="2160"/>
        </w:tabs>
        <w:ind w:left="2160" w:hanging="360"/>
      </w:pPr>
      <w:rPr>
        <w:rFonts w:ascii="Georgia" w:hAnsi="Georgia" w:hint="default"/>
      </w:rPr>
    </w:lvl>
    <w:lvl w:ilvl="3" w:tplc="B65EE43C" w:tentative="1">
      <w:start w:val="1"/>
      <w:numFmt w:val="bullet"/>
      <w:lvlText w:val="•"/>
      <w:lvlJc w:val="left"/>
      <w:pPr>
        <w:tabs>
          <w:tab w:val="num" w:pos="2880"/>
        </w:tabs>
        <w:ind w:left="2880" w:hanging="360"/>
      </w:pPr>
      <w:rPr>
        <w:rFonts w:ascii="Georgia" w:hAnsi="Georgia" w:hint="default"/>
      </w:rPr>
    </w:lvl>
    <w:lvl w:ilvl="4" w:tplc="990040B0" w:tentative="1">
      <w:start w:val="1"/>
      <w:numFmt w:val="bullet"/>
      <w:lvlText w:val="•"/>
      <w:lvlJc w:val="left"/>
      <w:pPr>
        <w:tabs>
          <w:tab w:val="num" w:pos="3600"/>
        </w:tabs>
        <w:ind w:left="3600" w:hanging="360"/>
      </w:pPr>
      <w:rPr>
        <w:rFonts w:ascii="Georgia" w:hAnsi="Georgia" w:hint="default"/>
      </w:rPr>
    </w:lvl>
    <w:lvl w:ilvl="5" w:tplc="2720464A" w:tentative="1">
      <w:start w:val="1"/>
      <w:numFmt w:val="bullet"/>
      <w:lvlText w:val="•"/>
      <w:lvlJc w:val="left"/>
      <w:pPr>
        <w:tabs>
          <w:tab w:val="num" w:pos="4320"/>
        </w:tabs>
        <w:ind w:left="4320" w:hanging="360"/>
      </w:pPr>
      <w:rPr>
        <w:rFonts w:ascii="Georgia" w:hAnsi="Georgia" w:hint="default"/>
      </w:rPr>
    </w:lvl>
    <w:lvl w:ilvl="6" w:tplc="0C1AA424" w:tentative="1">
      <w:start w:val="1"/>
      <w:numFmt w:val="bullet"/>
      <w:lvlText w:val="•"/>
      <w:lvlJc w:val="left"/>
      <w:pPr>
        <w:tabs>
          <w:tab w:val="num" w:pos="5040"/>
        </w:tabs>
        <w:ind w:left="5040" w:hanging="360"/>
      </w:pPr>
      <w:rPr>
        <w:rFonts w:ascii="Georgia" w:hAnsi="Georgia" w:hint="default"/>
      </w:rPr>
    </w:lvl>
    <w:lvl w:ilvl="7" w:tplc="A05A2616" w:tentative="1">
      <w:start w:val="1"/>
      <w:numFmt w:val="bullet"/>
      <w:lvlText w:val="•"/>
      <w:lvlJc w:val="left"/>
      <w:pPr>
        <w:tabs>
          <w:tab w:val="num" w:pos="5760"/>
        </w:tabs>
        <w:ind w:left="5760" w:hanging="360"/>
      </w:pPr>
      <w:rPr>
        <w:rFonts w:ascii="Georgia" w:hAnsi="Georgia" w:hint="default"/>
      </w:rPr>
    </w:lvl>
    <w:lvl w:ilvl="8" w:tplc="7DD23D9A" w:tentative="1">
      <w:start w:val="1"/>
      <w:numFmt w:val="bullet"/>
      <w:lvlText w:val="•"/>
      <w:lvlJc w:val="left"/>
      <w:pPr>
        <w:tabs>
          <w:tab w:val="num" w:pos="6480"/>
        </w:tabs>
        <w:ind w:left="6480" w:hanging="360"/>
      </w:pPr>
      <w:rPr>
        <w:rFonts w:ascii="Georgia" w:hAnsi="Georgia" w:hint="default"/>
      </w:rPr>
    </w:lvl>
  </w:abstractNum>
  <w:abstractNum w:abstractNumId="10">
    <w:nsid w:val="60D04A55"/>
    <w:multiLevelType w:val="hybridMultilevel"/>
    <w:tmpl w:val="E068A264"/>
    <w:lvl w:ilvl="0" w:tplc="56B01C88">
      <w:start w:val="1"/>
      <w:numFmt w:val="bullet"/>
      <w:lvlText w:val="•"/>
      <w:lvlJc w:val="left"/>
      <w:pPr>
        <w:tabs>
          <w:tab w:val="num" w:pos="720"/>
        </w:tabs>
        <w:ind w:left="720" w:hanging="360"/>
      </w:pPr>
      <w:rPr>
        <w:rFonts w:ascii="Times New Roman" w:hAnsi="Times New Roman" w:hint="default"/>
      </w:rPr>
    </w:lvl>
    <w:lvl w:ilvl="1" w:tplc="084A6926" w:tentative="1">
      <w:start w:val="1"/>
      <w:numFmt w:val="bullet"/>
      <w:lvlText w:val="•"/>
      <w:lvlJc w:val="left"/>
      <w:pPr>
        <w:tabs>
          <w:tab w:val="num" w:pos="1440"/>
        </w:tabs>
        <w:ind w:left="1440" w:hanging="360"/>
      </w:pPr>
      <w:rPr>
        <w:rFonts w:ascii="Times New Roman" w:hAnsi="Times New Roman" w:hint="default"/>
      </w:rPr>
    </w:lvl>
    <w:lvl w:ilvl="2" w:tplc="5BA8D1AE" w:tentative="1">
      <w:start w:val="1"/>
      <w:numFmt w:val="bullet"/>
      <w:lvlText w:val="•"/>
      <w:lvlJc w:val="left"/>
      <w:pPr>
        <w:tabs>
          <w:tab w:val="num" w:pos="2160"/>
        </w:tabs>
        <w:ind w:left="2160" w:hanging="360"/>
      </w:pPr>
      <w:rPr>
        <w:rFonts w:ascii="Times New Roman" w:hAnsi="Times New Roman" w:hint="default"/>
      </w:rPr>
    </w:lvl>
    <w:lvl w:ilvl="3" w:tplc="A41070D4" w:tentative="1">
      <w:start w:val="1"/>
      <w:numFmt w:val="bullet"/>
      <w:lvlText w:val="•"/>
      <w:lvlJc w:val="left"/>
      <w:pPr>
        <w:tabs>
          <w:tab w:val="num" w:pos="2880"/>
        </w:tabs>
        <w:ind w:left="2880" w:hanging="360"/>
      </w:pPr>
      <w:rPr>
        <w:rFonts w:ascii="Times New Roman" w:hAnsi="Times New Roman" w:hint="default"/>
      </w:rPr>
    </w:lvl>
    <w:lvl w:ilvl="4" w:tplc="0110332A" w:tentative="1">
      <w:start w:val="1"/>
      <w:numFmt w:val="bullet"/>
      <w:lvlText w:val="•"/>
      <w:lvlJc w:val="left"/>
      <w:pPr>
        <w:tabs>
          <w:tab w:val="num" w:pos="3600"/>
        </w:tabs>
        <w:ind w:left="3600" w:hanging="360"/>
      </w:pPr>
      <w:rPr>
        <w:rFonts w:ascii="Times New Roman" w:hAnsi="Times New Roman" w:hint="default"/>
      </w:rPr>
    </w:lvl>
    <w:lvl w:ilvl="5" w:tplc="5EE4C202" w:tentative="1">
      <w:start w:val="1"/>
      <w:numFmt w:val="bullet"/>
      <w:lvlText w:val="•"/>
      <w:lvlJc w:val="left"/>
      <w:pPr>
        <w:tabs>
          <w:tab w:val="num" w:pos="4320"/>
        </w:tabs>
        <w:ind w:left="4320" w:hanging="360"/>
      </w:pPr>
      <w:rPr>
        <w:rFonts w:ascii="Times New Roman" w:hAnsi="Times New Roman" w:hint="default"/>
      </w:rPr>
    </w:lvl>
    <w:lvl w:ilvl="6" w:tplc="6C6AB960" w:tentative="1">
      <w:start w:val="1"/>
      <w:numFmt w:val="bullet"/>
      <w:lvlText w:val="•"/>
      <w:lvlJc w:val="left"/>
      <w:pPr>
        <w:tabs>
          <w:tab w:val="num" w:pos="5040"/>
        </w:tabs>
        <w:ind w:left="5040" w:hanging="360"/>
      </w:pPr>
      <w:rPr>
        <w:rFonts w:ascii="Times New Roman" w:hAnsi="Times New Roman" w:hint="default"/>
      </w:rPr>
    </w:lvl>
    <w:lvl w:ilvl="7" w:tplc="1C0A227E" w:tentative="1">
      <w:start w:val="1"/>
      <w:numFmt w:val="bullet"/>
      <w:lvlText w:val="•"/>
      <w:lvlJc w:val="left"/>
      <w:pPr>
        <w:tabs>
          <w:tab w:val="num" w:pos="5760"/>
        </w:tabs>
        <w:ind w:left="5760" w:hanging="360"/>
      </w:pPr>
      <w:rPr>
        <w:rFonts w:ascii="Times New Roman" w:hAnsi="Times New Roman" w:hint="default"/>
      </w:rPr>
    </w:lvl>
    <w:lvl w:ilvl="8" w:tplc="BF6AFF6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D086020"/>
    <w:multiLevelType w:val="hybridMultilevel"/>
    <w:tmpl w:val="7378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2"/>
  </w:num>
  <w:num w:numId="5">
    <w:abstractNumId w:val="6"/>
  </w:num>
  <w:num w:numId="6">
    <w:abstractNumId w:val="10"/>
  </w:num>
  <w:num w:numId="7">
    <w:abstractNumId w:val="9"/>
  </w:num>
  <w:num w:numId="8">
    <w:abstractNumId w:val="0"/>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16"/>
    <w:rsid w:val="0003241F"/>
    <w:rsid w:val="00034C85"/>
    <w:rsid w:val="0004127B"/>
    <w:rsid w:val="000A0AD8"/>
    <w:rsid w:val="0016028B"/>
    <w:rsid w:val="001A7745"/>
    <w:rsid w:val="001C4F1F"/>
    <w:rsid w:val="002002F3"/>
    <w:rsid w:val="0020371F"/>
    <w:rsid w:val="002060B8"/>
    <w:rsid w:val="00245153"/>
    <w:rsid w:val="00262FB8"/>
    <w:rsid w:val="00297616"/>
    <w:rsid w:val="002A11BC"/>
    <w:rsid w:val="00352AE7"/>
    <w:rsid w:val="00374466"/>
    <w:rsid w:val="003B6E35"/>
    <w:rsid w:val="003D1B67"/>
    <w:rsid w:val="00437D3A"/>
    <w:rsid w:val="0045532E"/>
    <w:rsid w:val="00456932"/>
    <w:rsid w:val="004C22EC"/>
    <w:rsid w:val="0050759E"/>
    <w:rsid w:val="005204F6"/>
    <w:rsid w:val="00565D1F"/>
    <w:rsid w:val="00571706"/>
    <w:rsid w:val="00580B6C"/>
    <w:rsid w:val="005E6081"/>
    <w:rsid w:val="00605F27"/>
    <w:rsid w:val="006E51EE"/>
    <w:rsid w:val="006E736F"/>
    <w:rsid w:val="007A3CCD"/>
    <w:rsid w:val="007B63CA"/>
    <w:rsid w:val="007B7E31"/>
    <w:rsid w:val="0083540D"/>
    <w:rsid w:val="00850F2F"/>
    <w:rsid w:val="00853D7A"/>
    <w:rsid w:val="00861101"/>
    <w:rsid w:val="00864309"/>
    <w:rsid w:val="008809E9"/>
    <w:rsid w:val="00884046"/>
    <w:rsid w:val="008B0AE0"/>
    <w:rsid w:val="008C03CE"/>
    <w:rsid w:val="008F727D"/>
    <w:rsid w:val="00902952"/>
    <w:rsid w:val="00A215DD"/>
    <w:rsid w:val="00A53F38"/>
    <w:rsid w:val="00A931A0"/>
    <w:rsid w:val="00AB691D"/>
    <w:rsid w:val="00B2588E"/>
    <w:rsid w:val="00C33C2A"/>
    <w:rsid w:val="00C57D4D"/>
    <w:rsid w:val="00C60DD7"/>
    <w:rsid w:val="00C77320"/>
    <w:rsid w:val="00CC5F10"/>
    <w:rsid w:val="00CE246C"/>
    <w:rsid w:val="00CF2E32"/>
    <w:rsid w:val="00D00C86"/>
    <w:rsid w:val="00D10337"/>
    <w:rsid w:val="00D16C65"/>
    <w:rsid w:val="00D526C8"/>
    <w:rsid w:val="00D64710"/>
    <w:rsid w:val="00DA2436"/>
    <w:rsid w:val="00DF13B6"/>
    <w:rsid w:val="00E25F35"/>
    <w:rsid w:val="00E41CDF"/>
    <w:rsid w:val="00E81C99"/>
    <w:rsid w:val="00EB75D9"/>
    <w:rsid w:val="00EE5E34"/>
    <w:rsid w:val="00EF5A33"/>
    <w:rsid w:val="00F7709C"/>
    <w:rsid w:val="00FC2661"/>
    <w:rsid w:val="00FC5123"/>
    <w:rsid w:val="00FF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13"/>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16"/>
    <w:pPr>
      <w:spacing w:line="240" w:lineRule="atLeast"/>
    </w:pPr>
    <w:rPr>
      <w:rFonts w:ascii="Georgia" w:hAnsi="Georgia"/>
      <w:szCs w:val="22"/>
      <w:lang w:val="en-GB" w:eastAsia="en-US"/>
    </w:rPr>
  </w:style>
  <w:style w:type="paragraph" w:styleId="Heading1">
    <w:name w:val="heading 1"/>
    <w:basedOn w:val="Normal"/>
    <w:next w:val="Normal"/>
    <w:link w:val="Heading1Char"/>
    <w:qFormat/>
    <w:rsid w:val="0029761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6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97616"/>
  </w:style>
  <w:style w:type="paragraph" w:styleId="Footer">
    <w:name w:val="footer"/>
    <w:basedOn w:val="Normal"/>
    <w:link w:val="FooterChar"/>
    <w:uiPriority w:val="99"/>
    <w:semiHidden/>
    <w:unhideWhenUsed/>
    <w:rsid w:val="0029761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97616"/>
  </w:style>
  <w:style w:type="paragraph" w:styleId="BodyText">
    <w:name w:val="Body Text"/>
    <w:basedOn w:val="Normal"/>
    <w:link w:val="BodyTextChar"/>
    <w:uiPriority w:val="99"/>
    <w:unhideWhenUsed/>
    <w:rsid w:val="00297616"/>
    <w:pPr>
      <w:spacing w:after="240"/>
    </w:pPr>
  </w:style>
  <w:style w:type="character" w:customStyle="1" w:styleId="BodyTextChar">
    <w:name w:val="Body Text Char"/>
    <w:basedOn w:val="DefaultParagraphFont"/>
    <w:link w:val="BodyText"/>
    <w:uiPriority w:val="99"/>
    <w:rsid w:val="00297616"/>
    <w:rPr>
      <w:rFonts w:ascii="Georgia" w:hAnsi="Georgia"/>
      <w:sz w:val="20"/>
    </w:rPr>
  </w:style>
  <w:style w:type="paragraph" w:styleId="Title">
    <w:name w:val="Title"/>
    <w:basedOn w:val="Normal"/>
    <w:next w:val="Normal"/>
    <w:link w:val="TitleChar"/>
    <w:uiPriority w:val="10"/>
    <w:qFormat/>
    <w:rsid w:val="0029761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297616"/>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297616"/>
    <w:pPr>
      <w:spacing w:line="200" w:lineRule="atLeast"/>
    </w:pPr>
    <w:rPr>
      <w:i/>
      <w:sz w:val="18"/>
    </w:rPr>
  </w:style>
  <w:style w:type="character" w:customStyle="1" w:styleId="AddressChar">
    <w:name w:val="Address Char"/>
    <w:basedOn w:val="DefaultParagraphFont"/>
    <w:link w:val="Address"/>
    <w:rsid w:val="00297616"/>
    <w:rPr>
      <w:rFonts w:ascii="Georgia" w:hAnsi="Georgia"/>
      <w:i/>
      <w:sz w:val="18"/>
    </w:rPr>
  </w:style>
  <w:style w:type="paragraph" w:customStyle="1" w:styleId="Disclaimer">
    <w:name w:val="Disclaimer"/>
    <w:basedOn w:val="Normal"/>
    <w:link w:val="DisclaimerChar"/>
    <w:rsid w:val="00297616"/>
    <w:pPr>
      <w:spacing w:line="140" w:lineRule="atLeast"/>
    </w:pPr>
    <w:rPr>
      <w:rFonts w:ascii="Arial" w:hAnsi="Arial" w:cs="Arial"/>
      <w:sz w:val="12"/>
    </w:rPr>
  </w:style>
  <w:style w:type="character" w:customStyle="1" w:styleId="DisclaimerChar">
    <w:name w:val="Disclaimer Char"/>
    <w:basedOn w:val="DefaultParagraphFont"/>
    <w:link w:val="Disclaimer"/>
    <w:rsid w:val="00297616"/>
    <w:rPr>
      <w:rFonts w:ascii="Arial" w:hAnsi="Arial" w:cs="Arial"/>
      <w:sz w:val="12"/>
    </w:rPr>
  </w:style>
  <w:style w:type="character" w:customStyle="1" w:styleId="Heading1Char">
    <w:name w:val="Heading 1 Char"/>
    <w:basedOn w:val="DefaultParagraphFont"/>
    <w:link w:val="Heading1"/>
    <w:rsid w:val="00297616"/>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297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616"/>
    <w:rPr>
      <w:rFonts w:ascii="Tahoma" w:hAnsi="Tahoma" w:cs="Tahoma"/>
      <w:sz w:val="16"/>
      <w:szCs w:val="16"/>
      <w:lang w:eastAsia="en-US"/>
    </w:rPr>
  </w:style>
  <w:style w:type="paragraph" w:styleId="ListParagraph">
    <w:name w:val="List Paragraph"/>
    <w:basedOn w:val="Normal"/>
    <w:uiPriority w:val="34"/>
    <w:qFormat/>
    <w:rsid w:val="00297616"/>
    <w:pPr>
      <w:widowControl w:val="0"/>
      <w:spacing w:line="240" w:lineRule="auto"/>
      <w:ind w:left="720"/>
      <w:contextualSpacing/>
    </w:pPr>
    <w:rPr>
      <w:rFonts w:ascii="Arial" w:eastAsia="Arial" w:hAnsi="Arial" w:cs="Arial"/>
      <w:kern w:val="2"/>
      <w:sz w:val="22"/>
      <w:lang w:val="en-US" w:eastAsia="zh-CN"/>
    </w:rPr>
  </w:style>
  <w:style w:type="character" w:styleId="Hyperlink">
    <w:name w:val="Hyperlink"/>
    <w:basedOn w:val="DefaultParagraphFont"/>
    <w:uiPriority w:val="99"/>
    <w:rsid w:val="00297616"/>
    <w:rPr>
      <w:color w:val="0000FF"/>
      <w:u w:val="single"/>
    </w:rPr>
  </w:style>
  <w:style w:type="paragraph" w:customStyle="1" w:styleId="CharCharCharChar">
    <w:name w:val="Char Char Char Char"/>
    <w:basedOn w:val="Normal"/>
    <w:rsid w:val="00297616"/>
    <w:pPr>
      <w:spacing w:after="160" w:line="240" w:lineRule="exact"/>
    </w:pPr>
    <w:rPr>
      <w:rFonts w:ascii="Tahoma" w:hAnsi="Tahoma" w:cs="Angsana New"/>
      <w:szCs w:val="20"/>
      <w:lang w:val="en-US"/>
    </w:rPr>
  </w:style>
  <w:style w:type="paragraph" w:customStyle="1" w:styleId="Heading">
    <w:name w:val="Heading"/>
    <w:basedOn w:val="Normal"/>
    <w:rsid w:val="00297616"/>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unhideWhenUsed/>
    <w:rsid w:val="00297616"/>
    <w:rPr>
      <w:sz w:val="16"/>
      <w:szCs w:val="16"/>
    </w:rPr>
  </w:style>
  <w:style w:type="paragraph" w:styleId="CommentText">
    <w:name w:val="annotation text"/>
    <w:basedOn w:val="Normal"/>
    <w:link w:val="CommentTextChar"/>
    <w:uiPriority w:val="99"/>
    <w:semiHidden/>
    <w:unhideWhenUsed/>
    <w:rsid w:val="00297616"/>
    <w:pPr>
      <w:spacing w:line="240" w:lineRule="auto"/>
    </w:pPr>
    <w:rPr>
      <w:szCs w:val="20"/>
    </w:rPr>
  </w:style>
  <w:style w:type="character" w:customStyle="1" w:styleId="CommentTextChar">
    <w:name w:val="Comment Text Char"/>
    <w:basedOn w:val="DefaultParagraphFont"/>
    <w:link w:val="CommentText"/>
    <w:uiPriority w:val="99"/>
    <w:semiHidden/>
    <w:rsid w:val="00297616"/>
    <w:rPr>
      <w:rFonts w:ascii="Georgia" w:hAnsi="Georgia"/>
      <w:lang w:val="en-GB" w:eastAsia="en-US"/>
    </w:rPr>
  </w:style>
  <w:style w:type="paragraph" w:styleId="CommentSubject">
    <w:name w:val="annotation subject"/>
    <w:basedOn w:val="CommentText"/>
    <w:next w:val="CommentText"/>
    <w:link w:val="CommentSubjectChar"/>
    <w:uiPriority w:val="99"/>
    <w:semiHidden/>
    <w:unhideWhenUsed/>
    <w:rsid w:val="00297616"/>
    <w:rPr>
      <w:b/>
      <w:bCs/>
    </w:rPr>
  </w:style>
  <w:style w:type="character" w:customStyle="1" w:styleId="CommentSubjectChar">
    <w:name w:val="Comment Subject Char"/>
    <w:basedOn w:val="CommentTextChar"/>
    <w:link w:val="CommentSubject"/>
    <w:uiPriority w:val="99"/>
    <w:semiHidden/>
    <w:rsid w:val="00297616"/>
    <w:rPr>
      <w:rFonts w:ascii="Georgia" w:hAnsi="Georgia"/>
      <w:b/>
      <w:bCs/>
      <w:lang w:val="en-GB" w:eastAsia="en-US"/>
    </w:rPr>
  </w:style>
  <w:style w:type="paragraph" w:styleId="ListBullet4">
    <w:name w:val="List Bullet 4"/>
    <w:basedOn w:val="BodyText"/>
    <w:uiPriority w:val="13"/>
    <w:unhideWhenUsed/>
    <w:rsid w:val="00374466"/>
    <w:pPr>
      <w:numPr>
        <w:ilvl w:val="3"/>
        <w:numId w:val="11"/>
      </w:numPr>
      <w:tabs>
        <w:tab w:val="clear" w:pos="1191"/>
        <w:tab w:val="num" w:pos="360"/>
      </w:tabs>
      <w:spacing w:after="180" w:line="264" w:lineRule="auto"/>
      <w:ind w:left="0" w:firstLine="0"/>
      <w:contextualSpacing/>
    </w:pPr>
    <w:rPr>
      <w:rFonts w:eastAsiaTheme="minorHAnsi" w:cs="Arial"/>
      <w:color w:val="000000" w:themeColor="text1"/>
      <w:szCs w:val="21"/>
    </w:rPr>
  </w:style>
  <w:style w:type="paragraph" w:customStyle="1" w:styleId="TableBody">
    <w:name w:val="TableBody"/>
    <w:basedOn w:val="BodyText"/>
    <w:rsid w:val="00374466"/>
    <w:pPr>
      <w:numPr>
        <w:numId w:val="11"/>
      </w:numPr>
      <w:tabs>
        <w:tab w:val="num" w:pos="360"/>
      </w:tabs>
      <w:spacing w:after="120" w:line="240" w:lineRule="auto"/>
    </w:pPr>
    <w:rPr>
      <w:rFonts w:eastAsiaTheme="minorHAnsi" w:cstheme="minorBidi"/>
      <w:szCs w:val="20"/>
    </w:rPr>
  </w:style>
  <w:style w:type="paragraph" w:customStyle="1" w:styleId="TableBodyListNumber">
    <w:name w:val="TableBodyListNumber"/>
    <w:basedOn w:val="TableBody"/>
    <w:rsid w:val="00374466"/>
    <w:pPr>
      <w:numPr>
        <w:ilvl w:val="1"/>
      </w:numPr>
      <w:tabs>
        <w:tab w:val="clear" w:pos="397"/>
        <w:tab w:val="num" w:pos="360"/>
        <w:tab w:val="left" w:pos="426"/>
      </w:tabs>
      <w:spacing w:after="60"/>
    </w:pPr>
  </w:style>
  <w:style w:type="paragraph" w:customStyle="1" w:styleId="TableBodyListNumber2">
    <w:name w:val="TableBodyListNumber2"/>
    <w:basedOn w:val="TableBodyListNumber"/>
    <w:rsid w:val="00374466"/>
    <w:pPr>
      <w:numPr>
        <w:ilvl w:val="2"/>
      </w:numPr>
      <w:tabs>
        <w:tab w:val="clear" w:pos="794"/>
        <w:tab w:val="num" w:pos="360"/>
      </w:tabs>
      <w:spacing w:after="120"/>
    </w:pPr>
  </w:style>
  <w:style w:type="numbering" w:customStyle="1" w:styleId="TableListNumber">
    <w:name w:val="TableListNumber"/>
    <w:uiPriority w:val="99"/>
    <w:rsid w:val="0037446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4681">
      <w:bodyDiv w:val="1"/>
      <w:marLeft w:val="0"/>
      <w:marRight w:val="0"/>
      <w:marTop w:val="0"/>
      <w:marBottom w:val="0"/>
      <w:divBdr>
        <w:top w:val="none" w:sz="0" w:space="0" w:color="auto"/>
        <w:left w:val="none" w:sz="0" w:space="0" w:color="auto"/>
        <w:bottom w:val="none" w:sz="0" w:space="0" w:color="auto"/>
        <w:right w:val="none" w:sz="0" w:space="0" w:color="auto"/>
      </w:divBdr>
      <w:divsChild>
        <w:div w:id="1529903220">
          <w:marLeft w:val="432"/>
          <w:marRight w:val="0"/>
          <w:marTop w:val="0"/>
          <w:marBottom w:val="180"/>
          <w:divBdr>
            <w:top w:val="none" w:sz="0" w:space="0" w:color="auto"/>
            <w:left w:val="none" w:sz="0" w:space="0" w:color="auto"/>
            <w:bottom w:val="none" w:sz="0" w:space="0" w:color="auto"/>
            <w:right w:val="none" w:sz="0" w:space="0" w:color="auto"/>
          </w:divBdr>
        </w:div>
      </w:divsChild>
    </w:div>
    <w:div w:id="1110050794">
      <w:bodyDiv w:val="1"/>
      <w:marLeft w:val="0"/>
      <w:marRight w:val="0"/>
      <w:marTop w:val="0"/>
      <w:marBottom w:val="0"/>
      <w:divBdr>
        <w:top w:val="none" w:sz="0" w:space="0" w:color="auto"/>
        <w:left w:val="none" w:sz="0" w:space="0" w:color="auto"/>
        <w:bottom w:val="none" w:sz="0" w:space="0" w:color="auto"/>
        <w:right w:val="none" w:sz="0" w:space="0" w:color="auto"/>
      </w:divBdr>
    </w:div>
    <w:div w:id="15627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ma.europa.eu/news/PRESS-RELEASE-ESMA-registers-DDRL-KDPW-Regis-TR-and-UnaVista-trade-repositories?t=326&amp;o=home" TargetMode="External"/><Relationship Id="rId4" Type="http://schemas.microsoft.com/office/2007/relationships/stylesWithEffects" Target="stylesWithEffects.xml"/><Relationship Id="rId9" Type="http://schemas.openxmlformats.org/officeDocument/2006/relationships/hyperlink" Target="mailto:hilary.n.downes@uk.pwc.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BD73-FA5C-4E26-8F29-B4A38B68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3745</CharactersWithSpaces>
  <SharedDoc>false</SharedDoc>
  <HLinks>
    <vt:vector size="48" baseType="variant">
      <vt:variant>
        <vt:i4>7536685</vt:i4>
      </vt:variant>
      <vt:variant>
        <vt:i4>21</vt:i4>
      </vt:variant>
      <vt:variant>
        <vt:i4>0</vt:i4>
      </vt:variant>
      <vt:variant>
        <vt:i4>5</vt:i4>
      </vt:variant>
      <vt:variant>
        <vt:lpwstr>http://www.pwchk.com/home/eng/rss.html</vt:lpwstr>
      </vt:variant>
      <vt:variant>
        <vt:lpwstr/>
      </vt:variant>
      <vt:variant>
        <vt:i4>262228</vt:i4>
      </vt:variant>
      <vt:variant>
        <vt:i4>18</vt:i4>
      </vt:variant>
      <vt:variant>
        <vt:i4>0</vt:i4>
      </vt:variant>
      <vt:variant>
        <vt:i4>5</vt:i4>
      </vt:variant>
      <vt:variant>
        <vt:lpwstr>http://www.pwc.com/tw/en/index.jhtml</vt:lpwstr>
      </vt:variant>
      <vt:variant>
        <vt:lpwstr/>
      </vt:variant>
      <vt:variant>
        <vt:i4>4522057</vt:i4>
      </vt:variant>
      <vt:variant>
        <vt:i4>15</vt:i4>
      </vt:variant>
      <vt:variant>
        <vt:i4>0</vt:i4>
      </vt:variant>
      <vt:variant>
        <vt:i4>5</vt:i4>
      </vt:variant>
      <vt:variant>
        <vt:lpwstr>http://www.pwc.com/sg</vt:lpwstr>
      </vt:variant>
      <vt:variant>
        <vt:lpwstr/>
      </vt:variant>
      <vt:variant>
        <vt:i4>6094862</vt:i4>
      </vt:variant>
      <vt:variant>
        <vt:i4>12</vt:i4>
      </vt:variant>
      <vt:variant>
        <vt:i4>0</vt:i4>
      </vt:variant>
      <vt:variant>
        <vt:i4>5</vt:i4>
      </vt:variant>
      <vt:variant>
        <vt:lpwstr>http://www.pwchk.com/</vt:lpwstr>
      </vt:variant>
      <vt:variant>
        <vt:lpwstr/>
      </vt:variant>
      <vt:variant>
        <vt:i4>5767173</vt:i4>
      </vt:variant>
      <vt:variant>
        <vt:i4>9</vt:i4>
      </vt:variant>
      <vt:variant>
        <vt:i4>0</vt:i4>
      </vt:variant>
      <vt:variant>
        <vt:i4>5</vt:i4>
      </vt:variant>
      <vt:variant>
        <vt:lpwstr>http://www.pwccn.com/</vt:lpwstr>
      </vt:variant>
      <vt:variant>
        <vt:lpwstr/>
      </vt:variant>
      <vt:variant>
        <vt:i4>3735621</vt:i4>
      </vt:variant>
      <vt:variant>
        <vt:i4>6</vt:i4>
      </vt:variant>
      <vt:variant>
        <vt:i4>0</vt:i4>
      </vt:variant>
      <vt:variant>
        <vt:i4>5</vt:i4>
      </vt:variant>
      <vt:variant>
        <vt:lpwstr>\\HK-FILWN015\MC\MC\Press Briefings--2010\Mining Industry Press Briefing (26 Oct)\Press release\final\www.pwc.com</vt:lpwstr>
      </vt:variant>
      <vt:variant>
        <vt:lpwstr/>
      </vt:variant>
      <vt:variant>
        <vt:i4>2097245</vt:i4>
      </vt:variant>
      <vt:variant>
        <vt:i4>3</vt:i4>
      </vt:variant>
      <vt:variant>
        <vt:i4>0</vt:i4>
      </vt:variant>
      <vt:variant>
        <vt:i4>5</vt:i4>
      </vt:variant>
      <vt:variant>
        <vt:lpwstr>mailto:wesley@chinaventure.com.cn</vt:lpwstr>
      </vt:variant>
      <vt:variant>
        <vt:lpwstr/>
      </vt:variant>
      <vt:variant>
        <vt:i4>2490379</vt:i4>
      </vt:variant>
      <vt:variant>
        <vt:i4>0</vt:i4>
      </vt:variant>
      <vt:variant>
        <vt:i4>0</vt:i4>
      </vt:variant>
      <vt:variant>
        <vt:i4>5</vt:i4>
      </vt:variant>
      <vt:variant>
        <vt:lpwstr>mailto:christopher.french@cn.pwc.com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3</cp:revision>
  <cp:lastPrinted>2013-11-07T18:02:00Z</cp:lastPrinted>
  <dcterms:created xsi:type="dcterms:W3CDTF">2013-11-07T18:02:00Z</dcterms:created>
  <dcterms:modified xsi:type="dcterms:W3CDTF">2013-11-07T18:04:00Z</dcterms:modified>
</cp:coreProperties>
</file>