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36" w:rsidRPr="00993039" w:rsidRDefault="00D81336"/>
    <w:p w:rsidR="00D81336" w:rsidRPr="00993039" w:rsidRDefault="00A77FF6">
      <w:pPr>
        <w:pStyle w:val="Title"/>
        <w:rPr>
          <w:rFonts w:ascii="Georgia" w:hAnsi="Georgia"/>
        </w:rPr>
      </w:pPr>
      <w:r w:rsidRPr="00993039">
        <w:rPr>
          <w:rFonts w:ascii="Georgia" w:hAnsi="Georgia"/>
        </w:rPr>
        <w:t>News release</w:t>
      </w:r>
    </w:p>
    <w:tbl>
      <w:tblPr>
        <w:tblW w:w="0" w:type="auto"/>
        <w:tblLayout w:type="fixed"/>
        <w:tblLook w:val="0000" w:firstRow="0" w:lastRow="0" w:firstColumn="0" w:lastColumn="0" w:noHBand="0" w:noVBand="0"/>
      </w:tblPr>
      <w:tblGrid>
        <w:gridCol w:w="2268"/>
        <w:gridCol w:w="4645"/>
      </w:tblGrid>
      <w:tr w:rsidR="00D81336" w:rsidRPr="00993039">
        <w:tc>
          <w:tcPr>
            <w:tcW w:w="2268" w:type="dxa"/>
          </w:tcPr>
          <w:p w:rsidR="00D81336" w:rsidRPr="00993039" w:rsidRDefault="00A77FF6">
            <w:pPr>
              <w:rPr>
                <w:i/>
              </w:rPr>
            </w:pPr>
            <w:r w:rsidRPr="00993039">
              <w:rPr>
                <w:i/>
              </w:rPr>
              <w:t>Date</w:t>
            </w:r>
          </w:p>
        </w:tc>
        <w:tc>
          <w:tcPr>
            <w:tcW w:w="4645" w:type="dxa"/>
          </w:tcPr>
          <w:p w:rsidR="00D81336" w:rsidRPr="00993039" w:rsidRDefault="00A53B34">
            <w:r>
              <w:t>16</w:t>
            </w:r>
            <w:r w:rsidR="00152644" w:rsidRPr="00993039">
              <w:t xml:space="preserve"> October</w:t>
            </w:r>
            <w:r w:rsidR="00D207B0" w:rsidRPr="00993039">
              <w:t xml:space="preserve"> 2013</w:t>
            </w:r>
          </w:p>
          <w:p w:rsidR="00D81336" w:rsidRPr="00993039" w:rsidRDefault="00D81336"/>
        </w:tc>
      </w:tr>
      <w:tr w:rsidR="00D81336" w:rsidRPr="00FC338F">
        <w:tc>
          <w:tcPr>
            <w:tcW w:w="2268" w:type="dxa"/>
          </w:tcPr>
          <w:p w:rsidR="00D81336" w:rsidRPr="00993039" w:rsidRDefault="00A77FF6">
            <w:pPr>
              <w:rPr>
                <w:i/>
              </w:rPr>
            </w:pPr>
            <w:r w:rsidRPr="00993039">
              <w:rPr>
                <w:i/>
              </w:rPr>
              <w:t>Contact</w:t>
            </w:r>
          </w:p>
        </w:tc>
        <w:tc>
          <w:tcPr>
            <w:tcW w:w="4645" w:type="dxa"/>
          </w:tcPr>
          <w:p w:rsidR="00D81336" w:rsidRPr="00FC338F" w:rsidRDefault="00104713">
            <w:pPr>
              <w:tabs>
                <w:tab w:val="left" w:pos="1440"/>
              </w:tabs>
              <w:ind w:left="1440" w:hanging="1440"/>
              <w:rPr>
                <w:rFonts w:cs="Arial"/>
                <w:color w:val="000000"/>
              </w:rPr>
            </w:pPr>
            <w:r w:rsidRPr="00FC338F">
              <w:rPr>
                <w:rFonts w:cs="Arial"/>
                <w:b/>
                <w:bCs/>
                <w:color w:val="000000"/>
              </w:rPr>
              <w:t>Alayna Francis</w:t>
            </w:r>
          </w:p>
          <w:p w:rsidR="00D81336" w:rsidRPr="00FC338F" w:rsidRDefault="00A77FF6">
            <w:pPr>
              <w:tabs>
                <w:tab w:val="left" w:pos="1440"/>
              </w:tabs>
              <w:ind w:left="1440" w:hanging="1440"/>
              <w:rPr>
                <w:rFonts w:cs="Arial"/>
                <w:color w:val="000000"/>
              </w:rPr>
            </w:pPr>
            <w:r w:rsidRPr="00FC338F">
              <w:rPr>
                <w:rFonts w:cs="Arial"/>
                <w:color w:val="000000"/>
              </w:rPr>
              <w:t xml:space="preserve">Tel: </w:t>
            </w:r>
            <w:r w:rsidR="00104713" w:rsidRPr="00FC338F">
              <w:rPr>
                <w:rFonts w:cs="Arial"/>
                <w:color w:val="000000"/>
              </w:rPr>
              <w:t>+1 646-471-4039</w:t>
            </w:r>
          </w:p>
          <w:p w:rsidR="00D81336" w:rsidRPr="00FC338F" w:rsidRDefault="001E7D34" w:rsidP="001E7D34">
            <w:pPr>
              <w:tabs>
                <w:tab w:val="left" w:pos="1440"/>
              </w:tabs>
              <w:ind w:left="1440" w:hanging="1440"/>
              <w:rPr>
                <w:rFonts w:cs="Arial"/>
                <w:color w:val="000000"/>
              </w:rPr>
            </w:pPr>
            <w:r w:rsidRPr="00FC338F">
              <w:rPr>
                <w:rFonts w:cs="Arial"/>
                <w:color w:val="000000"/>
              </w:rPr>
              <w:t>E</w:t>
            </w:r>
            <w:r w:rsidR="00A77FF6" w:rsidRPr="00FC338F">
              <w:rPr>
                <w:rFonts w:cs="Arial"/>
                <w:color w:val="000000"/>
              </w:rPr>
              <w:t xml:space="preserve">-mail: </w:t>
            </w:r>
            <w:r w:rsidR="00104713" w:rsidRPr="00FC338F">
              <w:rPr>
                <w:rFonts w:cs="Arial"/>
                <w:color w:val="000000"/>
              </w:rPr>
              <w:t>alayna.francis@us.pwc.com</w:t>
            </w:r>
          </w:p>
        </w:tc>
      </w:tr>
      <w:tr w:rsidR="00D81336" w:rsidRPr="00FC338F">
        <w:tc>
          <w:tcPr>
            <w:tcW w:w="2268" w:type="dxa"/>
          </w:tcPr>
          <w:p w:rsidR="00D81336" w:rsidRPr="00FC338F" w:rsidRDefault="00D81336">
            <w:pPr>
              <w:rPr>
                <w:i/>
              </w:rPr>
            </w:pPr>
          </w:p>
          <w:p w:rsidR="00D81336" w:rsidRPr="00993039" w:rsidRDefault="00A77FF6">
            <w:pPr>
              <w:rPr>
                <w:i/>
              </w:rPr>
            </w:pPr>
            <w:r w:rsidRPr="00993039">
              <w:rPr>
                <w:i/>
              </w:rPr>
              <w:t xml:space="preserve">Pages </w:t>
            </w:r>
          </w:p>
        </w:tc>
        <w:tc>
          <w:tcPr>
            <w:tcW w:w="4645" w:type="dxa"/>
          </w:tcPr>
          <w:p w:rsidR="00D81336" w:rsidRPr="00FC338F" w:rsidRDefault="00D81336"/>
          <w:p w:rsidR="00D81336" w:rsidRDefault="00E11F82">
            <w:r w:rsidRPr="00FC338F">
              <w:t>2</w:t>
            </w:r>
            <w:r w:rsidR="001E7D34" w:rsidRPr="00FC338F">
              <w:t xml:space="preserve"> pages</w:t>
            </w:r>
          </w:p>
          <w:p w:rsidR="00FD457C" w:rsidRPr="00FC338F" w:rsidRDefault="00FD457C"/>
        </w:tc>
      </w:tr>
    </w:tbl>
    <w:p w:rsidR="00D81336" w:rsidRPr="00FC338F" w:rsidRDefault="00D81336">
      <w:pPr>
        <w:pStyle w:val="Title"/>
        <w:rPr>
          <w:i w:val="0"/>
          <w:sz w:val="16"/>
          <w:szCs w:val="16"/>
        </w:rPr>
      </w:pPr>
    </w:p>
    <w:p w:rsidR="003E7169" w:rsidRPr="00FC338F" w:rsidRDefault="003E7169" w:rsidP="00B215E9">
      <w:pPr>
        <w:jc w:val="center"/>
        <w:rPr>
          <w:rFonts w:cs="Helv"/>
          <w:b/>
          <w:color w:val="000000"/>
          <w:sz w:val="28"/>
          <w:szCs w:val="28"/>
        </w:rPr>
      </w:pPr>
      <w:r w:rsidRPr="00FC338F">
        <w:rPr>
          <w:rFonts w:cs="Helv"/>
          <w:b/>
          <w:color w:val="000000"/>
          <w:sz w:val="28"/>
          <w:szCs w:val="28"/>
        </w:rPr>
        <w:t xml:space="preserve">Wholesale Approach to Cloud Services Affords Telcos </w:t>
      </w:r>
    </w:p>
    <w:p w:rsidR="00B215E9" w:rsidRPr="00FC338F" w:rsidRDefault="003E7169" w:rsidP="00B215E9">
      <w:pPr>
        <w:jc w:val="center"/>
        <w:rPr>
          <w:rFonts w:cs="Helv"/>
          <w:b/>
          <w:color w:val="000000"/>
          <w:sz w:val="28"/>
          <w:szCs w:val="28"/>
        </w:rPr>
      </w:pPr>
      <w:r w:rsidRPr="00FC338F">
        <w:rPr>
          <w:rFonts w:cs="Helv"/>
          <w:b/>
          <w:color w:val="000000"/>
          <w:sz w:val="28"/>
          <w:szCs w:val="28"/>
        </w:rPr>
        <w:t>New Opportunities</w:t>
      </w:r>
    </w:p>
    <w:p w:rsidR="003E7169" w:rsidRPr="00FC338F" w:rsidRDefault="003E7169" w:rsidP="00052E2C">
      <w:pPr>
        <w:jc w:val="center"/>
        <w:rPr>
          <w:b/>
          <w:i/>
          <w:szCs w:val="20"/>
        </w:rPr>
      </w:pPr>
    </w:p>
    <w:p w:rsidR="00052E2C" w:rsidRPr="00FD457C" w:rsidRDefault="00052E2C" w:rsidP="003E7169">
      <w:pPr>
        <w:rPr>
          <w:rFonts w:ascii="Cambria" w:hAnsi="Cambria" w:cs="Helv"/>
          <w:color w:val="000000"/>
          <w:szCs w:val="20"/>
        </w:rPr>
      </w:pPr>
    </w:p>
    <w:p w:rsidR="00672373" w:rsidRDefault="00FD457C" w:rsidP="004C70EC">
      <w:r w:rsidRPr="00FD457C">
        <w:rPr>
          <w:b/>
        </w:rPr>
        <w:t>New York, 16 Oct 2013</w:t>
      </w:r>
      <w:r>
        <w:t xml:space="preserve"> </w:t>
      </w:r>
      <w:r>
        <w:noBreakHyphen/>
      </w:r>
      <w:r>
        <w:noBreakHyphen/>
        <w:t xml:space="preserve"> </w:t>
      </w:r>
      <w:r w:rsidR="00C721FC" w:rsidRPr="00FC338F">
        <w:t>PwC</w:t>
      </w:r>
      <w:r w:rsidR="003E7169" w:rsidRPr="00FC338F">
        <w:t xml:space="preserve">’s latest report on cloud services in the telco industry’ </w:t>
      </w:r>
      <w:r w:rsidR="00046B4E">
        <w:t xml:space="preserve">finds that a new </w:t>
      </w:r>
      <w:r w:rsidR="00046B4E" w:rsidRPr="00993039">
        <w:t xml:space="preserve">‘wholesale’ method </w:t>
      </w:r>
      <w:r w:rsidR="00046B4E">
        <w:t xml:space="preserve">has emerged as a means for them to </w:t>
      </w:r>
      <w:r w:rsidR="003E7169" w:rsidRPr="00993039">
        <w:t>enter the cloud services business. Previously, growin</w:t>
      </w:r>
      <w:r w:rsidR="00672373" w:rsidRPr="00993039">
        <w:t xml:space="preserve">g cloud services </w:t>
      </w:r>
      <w:r w:rsidR="003E7169" w:rsidRPr="00993039">
        <w:t xml:space="preserve">via </w:t>
      </w:r>
      <w:r w:rsidR="00672373" w:rsidRPr="00993039">
        <w:t xml:space="preserve">acquisition or </w:t>
      </w:r>
      <w:r w:rsidR="003E7169" w:rsidRPr="00993039">
        <w:t xml:space="preserve">developing </w:t>
      </w:r>
      <w:r w:rsidR="00046B4E">
        <w:t xml:space="preserve">them </w:t>
      </w:r>
      <w:r w:rsidR="003E7169" w:rsidRPr="00993039">
        <w:t>in</w:t>
      </w:r>
      <w:r w:rsidR="006B12A3">
        <w:t>-</w:t>
      </w:r>
      <w:r w:rsidR="003E7169" w:rsidRPr="00993039">
        <w:t>house were the primary options</w:t>
      </w:r>
      <w:r w:rsidR="00672373" w:rsidRPr="00993039">
        <w:t xml:space="preserve">.  </w:t>
      </w:r>
    </w:p>
    <w:p w:rsidR="00C00F38" w:rsidRPr="00993039" w:rsidRDefault="00C00F38" w:rsidP="004C70EC"/>
    <w:p w:rsidR="00F63E3D" w:rsidRPr="00993039" w:rsidRDefault="00672373" w:rsidP="00FD457C">
      <w:pPr>
        <w:rPr>
          <w:rFonts w:cs="Helv"/>
          <w:szCs w:val="20"/>
        </w:rPr>
      </w:pPr>
      <w:r w:rsidRPr="00993039">
        <w:rPr>
          <w:szCs w:val="20"/>
        </w:rPr>
        <w:t>Pierre-Alain Sur, Global Communications Industry Leader, PwC, said:</w:t>
      </w:r>
      <w:r w:rsidR="00FD457C">
        <w:rPr>
          <w:szCs w:val="20"/>
        </w:rPr>
        <w:t xml:space="preserve"> </w:t>
      </w:r>
      <w:r w:rsidR="00ED4301" w:rsidRPr="00993039">
        <w:rPr>
          <w:szCs w:val="20"/>
        </w:rPr>
        <w:t>“</w:t>
      </w:r>
      <w:r w:rsidR="003E7169" w:rsidRPr="00993039">
        <w:rPr>
          <w:szCs w:val="20"/>
        </w:rPr>
        <w:t>Telcos are not receiving the same double digit growth</w:t>
      </w:r>
      <w:r w:rsidR="00A10215" w:rsidRPr="00993039">
        <w:rPr>
          <w:szCs w:val="20"/>
        </w:rPr>
        <w:t xml:space="preserve"> that</w:t>
      </w:r>
      <w:r w:rsidR="003E7169" w:rsidRPr="00993039">
        <w:rPr>
          <w:szCs w:val="20"/>
        </w:rPr>
        <w:t xml:space="preserve"> the global cloud sector is currently experiencing</w:t>
      </w:r>
      <w:r w:rsidR="004B740C" w:rsidRPr="00993039">
        <w:rPr>
          <w:szCs w:val="20"/>
        </w:rPr>
        <w:t xml:space="preserve">. </w:t>
      </w:r>
      <w:r w:rsidR="004B740C" w:rsidRPr="00DE6B0F">
        <w:rPr>
          <w:rFonts w:cs="ITCCharterCom-Italic"/>
          <w:iCs/>
          <w:szCs w:val="20"/>
        </w:rPr>
        <w:t>The global market for cloud services is expected to grow 18% in 2013 to $131 billion and to $244 billion by 2017, which translates to a compound annual growth rate of 17.1</w:t>
      </w:r>
      <w:r w:rsidR="00A10215" w:rsidRPr="00DE6B0F">
        <w:rPr>
          <w:rFonts w:cs="ITCCharterCom-Italic"/>
          <w:iCs/>
          <w:szCs w:val="20"/>
        </w:rPr>
        <w:t>%</w:t>
      </w:r>
      <w:r w:rsidR="004B740C" w:rsidRPr="00DE6B0F">
        <w:rPr>
          <w:rFonts w:cs="ITCCharterCom-Italic"/>
          <w:iCs/>
          <w:szCs w:val="20"/>
          <w:vertAlign w:val="superscript"/>
        </w:rPr>
        <w:t>1</w:t>
      </w:r>
      <w:r w:rsidRPr="00993039">
        <w:rPr>
          <w:szCs w:val="20"/>
        </w:rPr>
        <w:t xml:space="preserve">. </w:t>
      </w:r>
      <w:r w:rsidR="004B740C" w:rsidRPr="00993039">
        <w:rPr>
          <w:szCs w:val="20"/>
        </w:rPr>
        <w:t>That’s a huge opportunity. But if telcos want to enter the cloud services market, they must consider several key factors and manage them strategically if they want to achieve success</w:t>
      </w:r>
      <w:r w:rsidR="00E12F3D" w:rsidRPr="00993039">
        <w:rPr>
          <w:rFonts w:cs="Helv"/>
          <w:szCs w:val="20"/>
        </w:rPr>
        <w:t>.</w:t>
      </w:r>
      <w:r w:rsidR="00CE123D" w:rsidRPr="00993039">
        <w:rPr>
          <w:rFonts w:cs="Helv"/>
          <w:szCs w:val="20"/>
        </w:rPr>
        <w:t>”</w:t>
      </w:r>
    </w:p>
    <w:p w:rsidR="00234BFB" w:rsidRPr="00993039" w:rsidRDefault="00234BFB" w:rsidP="004C70EC">
      <w:pPr>
        <w:rPr>
          <w:rFonts w:cs="Helv"/>
        </w:rPr>
      </w:pPr>
    </w:p>
    <w:p w:rsidR="004B740C" w:rsidRPr="00993039" w:rsidRDefault="004B740C" w:rsidP="004C70EC">
      <w:pPr>
        <w:rPr>
          <w:rFonts w:cs="Helv"/>
          <w:b/>
        </w:rPr>
      </w:pPr>
      <w:r w:rsidRPr="00993039">
        <w:rPr>
          <w:rFonts w:cs="Helv"/>
          <w:b/>
        </w:rPr>
        <w:t>Wholesale approach</w:t>
      </w:r>
      <w:r w:rsidR="00672373" w:rsidRPr="00993039">
        <w:rPr>
          <w:rFonts w:cs="Helv"/>
          <w:b/>
        </w:rPr>
        <w:t>: what it is</w:t>
      </w:r>
    </w:p>
    <w:p w:rsidR="004B740C" w:rsidRPr="00DE6B0F" w:rsidRDefault="00046B4E" w:rsidP="004B740C">
      <w:pPr>
        <w:autoSpaceDE w:val="0"/>
        <w:autoSpaceDN w:val="0"/>
        <w:adjustRightInd w:val="0"/>
        <w:spacing w:line="240" w:lineRule="auto"/>
        <w:rPr>
          <w:rFonts w:cs="ITCCharterCom-Regular"/>
          <w:color w:val="000000"/>
          <w:szCs w:val="20"/>
        </w:rPr>
      </w:pPr>
      <w:r>
        <w:rPr>
          <w:rFonts w:cs="Helv"/>
        </w:rPr>
        <w:t xml:space="preserve">According to the report, </w:t>
      </w:r>
      <w:r w:rsidRPr="00C00F38">
        <w:rPr>
          <w:i/>
        </w:rPr>
        <w:t>'Is the forecast clear on your wholesale cloud strategy?</w:t>
      </w:r>
      <w:r w:rsidR="00C00F38" w:rsidRPr="00C00F38">
        <w:rPr>
          <w:i/>
        </w:rPr>
        <w:t>’</w:t>
      </w:r>
      <w:r w:rsidR="00C00F38">
        <w:t>,</w:t>
      </w:r>
      <w:r w:rsidR="004B740C" w:rsidRPr="00DE6B0F">
        <w:rPr>
          <w:rFonts w:cs="ITCCharterCom-Regular"/>
          <w:color w:val="000000"/>
          <w:szCs w:val="20"/>
        </w:rPr>
        <w:t xml:space="preserve"> </w:t>
      </w:r>
      <w:r w:rsidR="00996A98" w:rsidRPr="00DE6B0F">
        <w:rPr>
          <w:rFonts w:cs="ITCCharterCom-Regular"/>
          <w:color w:val="000000"/>
          <w:szCs w:val="20"/>
        </w:rPr>
        <w:t xml:space="preserve">the wholesale method enables </w:t>
      </w:r>
      <w:r w:rsidR="004B740C" w:rsidRPr="00DE6B0F">
        <w:rPr>
          <w:rFonts w:cs="ITCCharterCom-Regular"/>
          <w:color w:val="000000"/>
          <w:szCs w:val="20"/>
        </w:rPr>
        <w:t xml:space="preserve">telco </w:t>
      </w:r>
      <w:r w:rsidR="00996A98" w:rsidRPr="00DE6B0F">
        <w:rPr>
          <w:rFonts w:cs="ITCCharterCom-Regular"/>
          <w:color w:val="000000"/>
          <w:szCs w:val="20"/>
        </w:rPr>
        <w:t xml:space="preserve">companies </w:t>
      </w:r>
      <w:r w:rsidR="004B740C" w:rsidRPr="00DE6B0F">
        <w:rPr>
          <w:rFonts w:cs="ITCCharterCom-Regular"/>
          <w:color w:val="000000"/>
          <w:szCs w:val="20"/>
        </w:rPr>
        <w:t xml:space="preserve">to ‘buy into’ </w:t>
      </w:r>
      <w:r w:rsidR="00A10215" w:rsidRPr="00DE6B0F">
        <w:rPr>
          <w:rFonts w:cs="ITCCharterCom-Regular"/>
          <w:color w:val="000000"/>
          <w:szCs w:val="20"/>
        </w:rPr>
        <w:t xml:space="preserve">the </w:t>
      </w:r>
      <w:r w:rsidR="004B740C" w:rsidRPr="00DE6B0F">
        <w:rPr>
          <w:rFonts w:cs="ITCCharterCom-Regular"/>
          <w:color w:val="000000"/>
          <w:szCs w:val="20"/>
        </w:rPr>
        <w:t>cloud business of an existing cloud service prov</w:t>
      </w:r>
      <w:r w:rsidR="00996A98" w:rsidRPr="00DE6B0F">
        <w:rPr>
          <w:rFonts w:cs="ITCCharterCom-Regular"/>
          <w:color w:val="000000"/>
          <w:szCs w:val="20"/>
        </w:rPr>
        <w:t xml:space="preserve">ider. The telco would then be able to offer its customers an end-to-end </w:t>
      </w:r>
      <w:r w:rsidR="00A10215" w:rsidRPr="00DE6B0F">
        <w:rPr>
          <w:rFonts w:cs="ITCCharterCom-Regular"/>
          <w:color w:val="000000"/>
          <w:szCs w:val="20"/>
        </w:rPr>
        <w:t xml:space="preserve">cloud services </w:t>
      </w:r>
      <w:r w:rsidR="00996A98" w:rsidRPr="00DE6B0F">
        <w:rPr>
          <w:rFonts w:cs="ITCCharterCom-Regular"/>
          <w:color w:val="000000"/>
          <w:szCs w:val="20"/>
        </w:rPr>
        <w:t>platform.</w:t>
      </w:r>
      <w:r>
        <w:rPr>
          <w:rFonts w:cs="ITCCharterCom-Regular"/>
          <w:color w:val="000000"/>
          <w:szCs w:val="20"/>
        </w:rPr>
        <w:t xml:space="preserve"> Somet</w:t>
      </w:r>
      <w:r w:rsidR="00C00F38">
        <w:rPr>
          <w:rFonts w:cs="ITCCharterCom-Regular"/>
          <w:color w:val="000000"/>
          <w:szCs w:val="20"/>
        </w:rPr>
        <w:t>imes</w:t>
      </w:r>
      <w:r>
        <w:rPr>
          <w:rFonts w:cs="ITCCharterCom-Regular"/>
          <w:color w:val="000000"/>
          <w:szCs w:val="20"/>
        </w:rPr>
        <w:t xml:space="preserve"> refer</w:t>
      </w:r>
      <w:r w:rsidR="00D23C5B">
        <w:rPr>
          <w:rFonts w:cs="ITCCharterCom-Regular"/>
          <w:color w:val="000000"/>
          <w:szCs w:val="20"/>
        </w:rPr>
        <w:t>red to as the 'franchise' appro</w:t>
      </w:r>
      <w:r>
        <w:rPr>
          <w:rFonts w:cs="ITCCharterCom-Regular"/>
          <w:color w:val="000000"/>
          <w:szCs w:val="20"/>
        </w:rPr>
        <w:t xml:space="preserve">ach, </w:t>
      </w:r>
      <w:r w:rsidR="00996A98" w:rsidRPr="00DE6B0F">
        <w:rPr>
          <w:rFonts w:cs="ITCCharterCom-Regular"/>
          <w:color w:val="000000"/>
          <w:szCs w:val="20"/>
        </w:rPr>
        <w:t xml:space="preserve"> </w:t>
      </w:r>
      <w:r w:rsidR="00DE6B0F">
        <w:rPr>
          <w:rFonts w:cs="Georgia"/>
          <w:color w:val="000000"/>
          <w:szCs w:val="20"/>
          <w:lang w:val="en-US"/>
        </w:rPr>
        <w:t>the telco has the opportunity to buy the underlying technology and operating directions but should not adopt the branding of the cloud service provider</w:t>
      </w:r>
      <w:r w:rsidR="00D23C5B">
        <w:rPr>
          <w:rFonts w:cs="Georgia"/>
          <w:color w:val="000000"/>
          <w:szCs w:val="20"/>
          <w:lang w:val="en-US"/>
        </w:rPr>
        <w:t xml:space="preserve">, the report says. </w:t>
      </w:r>
      <w:r w:rsidR="00DE6B0F">
        <w:rPr>
          <w:rFonts w:cs="Georgia"/>
          <w:color w:val="000000"/>
          <w:szCs w:val="20"/>
          <w:lang w:val="en-US"/>
        </w:rPr>
        <w:t xml:space="preserve"> Ideally, the telco retains the services under the umbrella of its own brand.</w:t>
      </w:r>
    </w:p>
    <w:p w:rsidR="00996A98" w:rsidRPr="00DE6B0F" w:rsidRDefault="00996A98" w:rsidP="004B740C">
      <w:pPr>
        <w:autoSpaceDE w:val="0"/>
        <w:autoSpaceDN w:val="0"/>
        <w:adjustRightInd w:val="0"/>
        <w:spacing w:line="240" w:lineRule="auto"/>
        <w:rPr>
          <w:rFonts w:cs="ITCCharterCom-Regular"/>
          <w:color w:val="000000"/>
          <w:szCs w:val="20"/>
        </w:rPr>
      </w:pPr>
    </w:p>
    <w:p w:rsidR="00996A98" w:rsidRPr="00DE6B0F" w:rsidRDefault="00996A98" w:rsidP="004B740C">
      <w:pPr>
        <w:autoSpaceDE w:val="0"/>
        <w:autoSpaceDN w:val="0"/>
        <w:adjustRightInd w:val="0"/>
        <w:spacing w:line="240" w:lineRule="auto"/>
        <w:rPr>
          <w:rFonts w:cs="ITCCharterCom-Regular"/>
          <w:b/>
          <w:color w:val="000000"/>
          <w:szCs w:val="20"/>
        </w:rPr>
      </w:pPr>
      <w:r w:rsidRPr="00DE6B0F">
        <w:rPr>
          <w:rFonts w:cs="ITCCharterCom-Regular"/>
          <w:b/>
          <w:color w:val="000000"/>
          <w:szCs w:val="20"/>
        </w:rPr>
        <w:t>How and when to use wholesale approach</w:t>
      </w:r>
    </w:p>
    <w:p w:rsidR="00127BEF" w:rsidRPr="00DE6B0F" w:rsidRDefault="00127BEF" w:rsidP="00127BEF">
      <w:pPr>
        <w:autoSpaceDE w:val="0"/>
        <w:autoSpaceDN w:val="0"/>
        <w:adjustRightInd w:val="0"/>
        <w:spacing w:line="240" w:lineRule="auto"/>
        <w:rPr>
          <w:rFonts w:cs="ITCCharterCom-Regular"/>
          <w:szCs w:val="20"/>
        </w:rPr>
      </w:pPr>
      <w:r w:rsidRPr="00DE6B0F">
        <w:rPr>
          <w:rFonts w:cs="ITCCharterCom-Regular"/>
          <w:color w:val="000000"/>
          <w:szCs w:val="20"/>
        </w:rPr>
        <w:t>PwC’s report outlines what</w:t>
      </w:r>
      <w:r w:rsidR="00D23C5B">
        <w:rPr>
          <w:rFonts w:cs="ITCCharterCom-Regular"/>
          <w:color w:val="000000"/>
          <w:szCs w:val="20"/>
        </w:rPr>
        <w:t xml:space="preserve"> factors</w:t>
      </w:r>
      <w:r w:rsidRPr="00DE6B0F">
        <w:rPr>
          <w:rFonts w:cs="ITCCharterCom-Regular"/>
          <w:color w:val="000000"/>
          <w:szCs w:val="20"/>
        </w:rPr>
        <w:t xml:space="preserve"> </w:t>
      </w:r>
      <w:r w:rsidRPr="00DE6B0F">
        <w:rPr>
          <w:rFonts w:cs="ITCCharterCom-Regular"/>
          <w:szCs w:val="20"/>
        </w:rPr>
        <w:t xml:space="preserve">telcos should evaluate before adopting a wholesale approach. Most importantly, </w:t>
      </w:r>
      <w:r w:rsidR="00993039" w:rsidRPr="00DE6B0F">
        <w:rPr>
          <w:rFonts w:cs="ITCCharterCom-Regular"/>
          <w:szCs w:val="20"/>
        </w:rPr>
        <w:t>a</w:t>
      </w:r>
      <w:r w:rsidRPr="00DE6B0F">
        <w:rPr>
          <w:rFonts w:cs="ITCCharterCom-Regular"/>
          <w:szCs w:val="20"/>
        </w:rPr>
        <w:t xml:space="preserve"> telco should review its current portfolio of cloud services and their end-to-end service delivery capabilities. In many instances, a modular wholesale cloud offering could </w:t>
      </w:r>
      <w:r w:rsidR="006B12A3">
        <w:rPr>
          <w:rFonts w:cs="ITCCharterCom-Regular"/>
          <w:szCs w:val="20"/>
        </w:rPr>
        <w:t>fill</w:t>
      </w:r>
      <w:r w:rsidR="006B12A3" w:rsidRPr="00DE6B0F">
        <w:rPr>
          <w:rFonts w:cs="ITCCharterCom-Regular"/>
          <w:szCs w:val="20"/>
        </w:rPr>
        <w:t xml:space="preserve"> </w:t>
      </w:r>
      <w:r w:rsidRPr="00DE6B0F">
        <w:rPr>
          <w:rFonts w:cs="ITCCharterCom-Regular"/>
          <w:szCs w:val="20"/>
        </w:rPr>
        <w:t>existing gaps in a telco company’s existing cloud services. These instances include:</w:t>
      </w:r>
    </w:p>
    <w:p w:rsidR="00127BEF" w:rsidRPr="00DE6B0F" w:rsidRDefault="00127BEF" w:rsidP="00127BEF">
      <w:pPr>
        <w:autoSpaceDE w:val="0"/>
        <w:autoSpaceDN w:val="0"/>
        <w:adjustRightInd w:val="0"/>
        <w:spacing w:line="240" w:lineRule="auto"/>
        <w:rPr>
          <w:rFonts w:cs="ITCCharterCom-Regular"/>
          <w:szCs w:val="20"/>
        </w:rPr>
      </w:pPr>
    </w:p>
    <w:p w:rsidR="00127BEF" w:rsidRPr="00DE6B0F" w:rsidRDefault="00127BEF" w:rsidP="00127BEF">
      <w:pPr>
        <w:pStyle w:val="ListParagraph"/>
        <w:numPr>
          <w:ilvl w:val="0"/>
          <w:numId w:val="26"/>
        </w:numPr>
        <w:autoSpaceDE w:val="0"/>
        <w:autoSpaceDN w:val="0"/>
        <w:adjustRightInd w:val="0"/>
        <w:spacing w:line="240" w:lineRule="auto"/>
        <w:rPr>
          <w:rFonts w:cs="ITCCharterCom-Regular"/>
          <w:szCs w:val="20"/>
        </w:rPr>
      </w:pPr>
      <w:r w:rsidRPr="00FD457C">
        <w:rPr>
          <w:rFonts w:cs="ITCCharterCom-Regular"/>
          <w:szCs w:val="20"/>
        </w:rPr>
        <w:t>Incomplete services</w:t>
      </w:r>
      <w:r w:rsidRPr="00DE6B0F">
        <w:rPr>
          <w:rFonts w:cs="ITCCharterCom-Regular"/>
          <w:szCs w:val="20"/>
          <w:u w:val="single"/>
        </w:rPr>
        <w:t>:</w:t>
      </w:r>
      <w:r w:rsidRPr="00DE6B0F">
        <w:rPr>
          <w:rFonts w:cs="ITCCharterCom-Regular"/>
          <w:szCs w:val="20"/>
        </w:rPr>
        <w:t xml:space="preserve"> a telco may offer Infrastructure-as-a-Service (IaaS) but not </w:t>
      </w:r>
      <w:r w:rsidRPr="00DE6B0F">
        <w:rPr>
          <w:rFonts w:cs="ITCCharterCom-Black"/>
          <w:szCs w:val="20"/>
        </w:rPr>
        <w:t>Software-as-a-Service (SaaS) or Platform-as-a-Service (PaaS) offerings</w:t>
      </w:r>
      <w:r w:rsidR="008B6A67" w:rsidRPr="00DE6B0F">
        <w:rPr>
          <w:rFonts w:cs="ITCCharterCom-Black"/>
          <w:szCs w:val="20"/>
        </w:rPr>
        <w:t>;</w:t>
      </w:r>
    </w:p>
    <w:p w:rsidR="008B6A67" w:rsidRPr="00DE6B0F" w:rsidRDefault="00D23C5B" w:rsidP="00127BEF">
      <w:pPr>
        <w:pStyle w:val="ListParagraph"/>
        <w:numPr>
          <w:ilvl w:val="0"/>
          <w:numId w:val="26"/>
        </w:numPr>
        <w:autoSpaceDE w:val="0"/>
        <w:autoSpaceDN w:val="0"/>
        <w:adjustRightInd w:val="0"/>
        <w:spacing w:line="240" w:lineRule="auto"/>
        <w:rPr>
          <w:rFonts w:cs="ITCCharterCom-Regular"/>
          <w:szCs w:val="20"/>
        </w:rPr>
      </w:pPr>
      <w:r w:rsidRPr="00FD457C">
        <w:rPr>
          <w:rFonts w:cs="ITCCharterCom-Regular"/>
          <w:szCs w:val="20"/>
        </w:rPr>
        <w:t>Insufficient s</w:t>
      </w:r>
      <w:r w:rsidR="00127BEF" w:rsidRPr="00FD457C">
        <w:rPr>
          <w:rFonts w:cs="ITCCharterCom-Regular"/>
          <w:szCs w:val="20"/>
        </w:rPr>
        <w:t xml:space="preserve">ingle tenant, private cloud </w:t>
      </w:r>
      <w:r w:rsidRPr="00FD457C">
        <w:rPr>
          <w:rFonts w:cs="ITCCharterCom-Regular"/>
          <w:szCs w:val="20"/>
        </w:rPr>
        <w:t>solutions:</w:t>
      </w:r>
      <w:r w:rsidR="00FD457C">
        <w:rPr>
          <w:rFonts w:cs="ITCCharterCom-Regular"/>
          <w:szCs w:val="20"/>
        </w:rPr>
        <w:t xml:space="preserve"> </w:t>
      </w:r>
      <w:r w:rsidR="00127BEF" w:rsidRPr="00DE6B0F">
        <w:rPr>
          <w:rFonts w:cs="ITCCharterCom-Regular"/>
          <w:szCs w:val="20"/>
        </w:rPr>
        <w:t xml:space="preserve">The telco could rely on the </w:t>
      </w:r>
      <w:r w:rsidR="00F36BB7" w:rsidRPr="00DE6B0F">
        <w:rPr>
          <w:rFonts w:cs="ITCCharterCom-Regular"/>
          <w:szCs w:val="20"/>
        </w:rPr>
        <w:t xml:space="preserve">wholesale provider </w:t>
      </w:r>
      <w:r w:rsidR="00127BEF" w:rsidRPr="00DE6B0F">
        <w:rPr>
          <w:rFonts w:cs="ITCCharterCom-Regular"/>
          <w:szCs w:val="20"/>
        </w:rPr>
        <w:t>to purchase a multi</w:t>
      </w:r>
      <w:r w:rsidR="00BB47ED">
        <w:rPr>
          <w:rFonts w:cs="ITCCharterCom-Regular"/>
          <w:szCs w:val="20"/>
        </w:rPr>
        <w:t>-</w:t>
      </w:r>
      <w:r w:rsidR="00127BEF" w:rsidRPr="00DE6B0F">
        <w:rPr>
          <w:rFonts w:cs="ITCCharterCom-Regular"/>
          <w:szCs w:val="20"/>
        </w:rPr>
        <w:t>tenant</w:t>
      </w:r>
      <w:r w:rsidR="00F36BB7" w:rsidRPr="00DE6B0F">
        <w:rPr>
          <w:rFonts w:cs="ITCCharterCom-Regular"/>
          <w:szCs w:val="20"/>
        </w:rPr>
        <w:t xml:space="preserve"> </w:t>
      </w:r>
      <w:r w:rsidR="00127BEF" w:rsidRPr="00DE6B0F">
        <w:rPr>
          <w:rFonts w:cs="ITCCharterCom-Regular"/>
          <w:szCs w:val="20"/>
        </w:rPr>
        <w:t>public cloud solution or a</w:t>
      </w:r>
      <w:r w:rsidR="00F36BB7" w:rsidRPr="00DE6B0F">
        <w:rPr>
          <w:rFonts w:cs="ITCCharterCom-Regular"/>
          <w:szCs w:val="20"/>
        </w:rPr>
        <w:t xml:space="preserve"> </w:t>
      </w:r>
      <w:r w:rsidR="008B6A67" w:rsidRPr="00DE6B0F">
        <w:rPr>
          <w:rFonts w:cs="ITCCharterCom-Regular"/>
          <w:szCs w:val="20"/>
        </w:rPr>
        <w:t>hybrid cloud solution;</w:t>
      </w:r>
    </w:p>
    <w:p w:rsidR="008B6A67" w:rsidRPr="00DE6B0F" w:rsidRDefault="008B6A67" w:rsidP="00127BEF">
      <w:pPr>
        <w:pStyle w:val="ListParagraph"/>
        <w:numPr>
          <w:ilvl w:val="0"/>
          <w:numId w:val="26"/>
        </w:numPr>
        <w:autoSpaceDE w:val="0"/>
        <w:autoSpaceDN w:val="0"/>
        <w:adjustRightInd w:val="0"/>
        <w:spacing w:line="240" w:lineRule="auto"/>
        <w:rPr>
          <w:rFonts w:cs="ITCCharterCom-Regular"/>
          <w:color w:val="000000"/>
          <w:szCs w:val="20"/>
        </w:rPr>
      </w:pPr>
      <w:r w:rsidRPr="00FD457C">
        <w:rPr>
          <w:rFonts w:cs="ITCCharterCom-Black"/>
          <w:szCs w:val="20"/>
        </w:rPr>
        <w:t>Self-</w:t>
      </w:r>
      <w:r w:rsidR="00F36BB7" w:rsidRPr="00FD457C">
        <w:rPr>
          <w:rFonts w:cs="ITCCharterCom-Black"/>
          <w:szCs w:val="20"/>
        </w:rPr>
        <w:t>management:</w:t>
      </w:r>
      <w:r w:rsidR="00F36BB7" w:rsidRPr="00DE6B0F">
        <w:rPr>
          <w:rFonts w:cs="ITCCharterCom-Black"/>
          <w:szCs w:val="20"/>
        </w:rPr>
        <w:t xml:space="preserve"> If a telco does not offer s</w:t>
      </w:r>
      <w:r w:rsidR="00127BEF" w:rsidRPr="00DE6B0F">
        <w:rPr>
          <w:rFonts w:cs="ITCCharterCom-Black"/>
          <w:szCs w:val="20"/>
        </w:rPr>
        <w:t>elf</w:t>
      </w:r>
      <w:r w:rsidR="00F36BB7" w:rsidRPr="00DE6B0F">
        <w:rPr>
          <w:rFonts w:cs="ITCCharterCom-Black"/>
          <w:szCs w:val="20"/>
        </w:rPr>
        <w:t xml:space="preserve">-management capabilities for </w:t>
      </w:r>
      <w:r w:rsidR="00D23C5B">
        <w:rPr>
          <w:rFonts w:cs="ITCCharterCom-Black"/>
          <w:szCs w:val="20"/>
        </w:rPr>
        <w:t>its</w:t>
      </w:r>
      <w:r w:rsidR="00BB47ED">
        <w:rPr>
          <w:rFonts w:cs="ITCCharterCom-Black"/>
          <w:szCs w:val="20"/>
        </w:rPr>
        <w:t xml:space="preserve"> </w:t>
      </w:r>
      <w:r w:rsidR="00127BEF" w:rsidRPr="00DE6B0F">
        <w:rPr>
          <w:rFonts w:cs="ITCCharterCom-Black"/>
          <w:szCs w:val="20"/>
        </w:rPr>
        <w:t>cloud offerings</w:t>
      </w:r>
      <w:r w:rsidR="00F36BB7" w:rsidRPr="00DE6B0F">
        <w:rPr>
          <w:rFonts w:cs="ITCCharterCom-Black"/>
          <w:szCs w:val="20"/>
        </w:rPr>
        <w:t>, a w</w:t>
      </w:r>
      <w:r w:rsidR="00127BEF" w:rsidRPr="00DE6B0F">
        <w:rPr>
          <w:rFonts w:cs="ITCCharterCom-Regular"/>
          <w:szCs w:val="20"/>
        </w:rPr>
        <w:t xml:space="preserve">holesale </w:t>
      </w:r>
      <w:r w:rsidR="00127BEF" w:rsidRPr="00DE6B0F">
        <w:rPr>
          <w:rFonts w:cs="ITCCharterCom-Regular"/>
          <w:color w:val="000000"/>
          <w:szCs w:val="20"/>
        </w:rPr>
        <w:t>cloud</w:t>
      </w:r>
      <w:r w:rsidR="00F36BB7" w:rsidRPr="00DE6B0F">
        <w:rPr>
          <w:rFonts w:cs="ITCCharterCom-Regular"/>
          <w:color w:val="000000"/>
          <w:szCs w:val="20"/>
        </w:rPr>
        <w:t xml:space="preserve"> provider </w:t>
      </w:r>
      <w:r w:rsidR="00127BEF" w:rsidRPr="00DE6B0F">
        <w:rPr>
          <w:rFonts w:cs="ITCCharterCom-Regular"/>
          <w:color w:val="000000"/>
          <w:szCs w:val="20"/>
        </w:rPr>
        <w:t>with offerings that</w:t>
      </w:r>
      <w:r w:rsidR="00F36BB7" w:rsidRPr="00DE6B0F">
        <w:rPr>
          <w:rFonts w:cs="ITCCharterCom-Regular"/>
          <w:color w:val="000000"/>
          <w:szCs w:val="20"/>
        </w:rPr>
        <w:t xml:space="preserve"> </w:t>
      </w:r>
      <w:r w:rsidR="00127BEF" w:rsidRPr="00DE6B0F">
        <w:rPr>
          <w:rFonts w:cs="ITCCharterCom-Regular"/>
          <w:color w:val="000000"/>
          <w:szCs w:val="20"/>
        </w:rPr>
        <w:t>include self-service features could</w:t>
      </w:r>
      <w:r w:rsidR="00F36BB7" w:rsidRPr="00DE6B0F">
        <w:rPr>
          <w:rFonts w:cs="ITCCharterCom-Regular"/>
          <w:color w:val="000000"/>
          <w:szCs w:val="20"/>
        </w:rPr>
        <w:t xml:space="preserve"> </w:t>
      </w:r>
      <w:r w:rsidR="00923D6B" w:rsidRPr="00DE6B0F">
        <w:rPr>
          <w:rFonts w:cs="ITCCharterCom-Regular"/>
          <w:color w:val="000000"/>
          <w:szCs w:val="20"/>
        </w:rPr>
        <w:t>be considered;</w:t>
      </w:r>
      <w:r w:rsidR="00127BEF" w:rsidRPr="00DE6B0F">
        <w:rPr>
          <w:rFonts w:cs="ITCCharterCom-Regular"/>
          <w:color w:val="000000"/>
          <w:szCs w:val="20"/>
        </w:rPr>
        <w:t xml:space="preserve"> </w:t>
      </w:r>
    </w:p>
    <w:p w:rsidR="008B6A67" w:rsidRPr="00DE6B0F" w:rsidRDefault="00F36BB7" w:rsidP="008B6A67">
      <w:pPr>
        <w:pStyle w:val="ListParagraph"/>
        <w:numPr>
          <w:ilvl w:val="0"/>
          <w:numId w:val="26"/>
        </w:numPr>
        <w:autoSpaceDE w:val="0"/>
        <w:autoSpaceDN w:val="0"/>
        <w:adjustRightInd w:val="0"/>
        <w:spacing w:line="240" w:lineRule="auto"/>
        <w:rPr>
          <w:rFonts w:cs="ITCCharterCom-Regular"/>
          <w:color w:val="000000"/>
          <w:szCs w:val="20"/>
        </w:rPr>
      </w:pPr>
      <w:r w:rsidRPr="00FD457C">
        <w:rPr>
          <w:rFonts w:cs="ITCCharterCom-Regular"/>
          <w:color w:val="000000"/>
          <w:szCs w:val="20"/>
        </w:rPr>
        <w:lastRenderedPageBreak/>
        <w:t>Cloud service payment:</w:t>
      </w:r>
      <w:r w:rsidRPr="00DE6B0F">
        <w:rPr>
          <w:rFonts w:cs="ITCCharterCom-Regular"/>
          <w:color w:val="000000"/>
          <w:szCs w:val="20"/>
        </w:rPr>
        <w:t xml:space="preserve"> In cases where the telco </w:t>
      </w:r>
      <w:r w:rsidR="00127BEF" w:rsidRPr="00DE6B0F">
        <w:rPr>
          <w:rFonts w:cs="ITCCharterCom-Black"/>
          <w:color w:val="000000"/>
          <w:szCs w:val="20"/>
        </w:rPr>
        <w:t>does not</w:t>
      </w:r>
      <w:r w:rsidRPr="00DE6B0F">
        <w:rPr>
          <w:rFonts w:cs="ITCCharterCom-Black"/>
          <w:color w:val="000000"/>
          <w:szCs w:val="20"/>
        </w:rPr>
        <w:t xml:space="preserve"> have </w:t>
      </w:r>
      <w:r w:rsidR="00127BEF" w:rsidRPr="00DE6B0F">
        <w:rPr>
          <w:rFonts w:cs="ITCCharterCom-Black"/>
          <w:color w:val="000000"/>
          <w:szCs w:val="20"/>
        </w:rPr>
        <w:t>easy, pay-by-credit card</w:t>
      </w:r>
      <w:r w:rsidRPr="00DE6B0F">
        <w:rPr>
          <w:rFonts w:cs="ITCCharterCom-Black"/>
          <w:color w:val="000000"/>
          <w:szCs w:val="20"/>
        </w:rPr>
        <w:t xml:space="preserve"> </w:t>
      </w:r>
      <w:r w:rsidR="00127BEF" w:rsidRPr="00DE6B0F">
        <w:rPr>
          <w:rFonts w:cs="ITCCharterCom-Black"/>
          <w:color w:val="000000"/>
          <w:szCs w:val="20"/>
        </w:rPr>
        <w:t>option</w:t>
      </w:r>
      <w:r w:rsidRPr="00DE6B0F">
        <w:rPr>
          <w:rFonts w:cs="ITCCharterCom-Black"/>
          <w:color w:val="000000"/>
          <w:szCs w:val="20"/>
        </w:rPr>
        <w:t>s, w</w:t>
      </w:r>
      <w:r w:rsidR="00127BEF" w:rsidRPr="00DE6B0F">
        <w:rPr>
          <w:rFonts w:cs="ITCCharterCom-Regular"/>
          <w:color w:val="000000"/>
          <w:szCs w:val="20"/>
        </w:rPr>
        <w:t>holesale cloud providers</w:t>
      </w:r>
      <w:r w:rsidRPr="00DE6B0F">
        <w:rPr>
          <w:rFonts w:cs="ITCCharterCom-Regular"/>
          <w:color w:val="000000"/>
          <w:szCs w:val="20"/>
        </w:rPr>
        <w:t xml:space="preserve"> </w:t>
      </w:r>
      <w:r w:rsidR="00D23C5B">
        <w:rPr>
          <w:rFonts w:cs="ITCCharterCom-Regular"/>
          <w:color w:val="000000"/>
          <w:szCs w:val="20"/>
        </w:rPr>
        <w:t>with such</w:t>
      </w:r>
      <w:r w:rsidRPr="00DE6B0F">
        <w:rPr>
          <w:rFonts w:cs="ITCCharterCom-Regular"/>
          <w:color w:val="000000"/>
          <w:szCs w:val="20"/>
        </w:rPr>
        <w:t xml:space="preserve"> </w:t>
      </w:r>
      <w:r w:rsidR="00127BEF" w:rsidRPr="00DE6B0F">
        <w:rPr>
          <w:rFonts w:cs="ITCCharterCom-Regular"/>
          <w:color w:val="000000"/>
          <w:szCs w:val="20"/>
        </w:rPr>
        <w:t>capabilities could enhance the</w:t>
      </w:r>
      <w:r w:rsidRPr="00DE6B0F">
        <w:rPr>
          <w:rFonts w:cs="ITCCharterCom-Regular"/>
          <w:color w:val="000000"/>
          <w:szCs w:val="20"/>
        </w:rPr>
        <w:t xml:space="preserve"> consumer’s </w:t>
      </w:r>
      <w:r w:rsidR="00923D6B" w:rsidRPr="00DE6B0F">
        <w:rPr>
          <w:rFonts w:cs="ITCCharterCom-Regular"/>
          <w:color w:val="000000"/>
          <w:szCs w:val="20"/>
        </w:rPr>
        <w:t>purchasing and user experience;</w:t>
      </w:r>
      <w:r w:rsidRPr="00DE6B0F">
        <w:rPr>
          <w:rFonts w:cs="ITCCharterCom-Regular"/>
          <w:color w:val="000000"/>
          <w:szCs w:val="20"/>
        </w:rPr>
        <w:t xml:space="preserve"> </w:t>
      </w:r>
    </w:p>
    <w:p w:rsidR="00127BEF" w:rsidRPr="00DE6B0F" w:rsidRDefault="00F36BB7" w:rsidP="008B6A67">
      <w:pPr>
        <w:pStyle w:val="ListParagraph"/>
        <w:numPr>
          <w:ilvl w:val="0"/>
          <w:numId w:val="26"/>
        </w:numPr>
        <w:autoSpaceDE w:val="0"/>
        <w:autoSpaceDN w:val="0"/>
        <w:adjustRightInd w:val="0"/>
        <w:spacing w:line="240" w:lineRule="auto"/>
        <w:rPr>
          <w:rFonts w:cs="ITCCharterCom-Regular"/>
          <w:color w:val="000000"/>
          <w:szCs w:val="20"/>
        </w:rPr>
      </w:pPr>
      <w:r w:rsidRPr="00FD457C">
        <w:rPr>
          <w:rFonts w:cs="ITCCharterCom-Regular"/>
          <w:color w:val="000000"/>
          <w:szCs w:val="20"/>
        </w:rPr>
        <w:t>Billing capabilities</w:t>
      </w:r>
      <w:r w:rsidRPr="00DE6B0F">
        <w:rPr>
          <w:rFonts w:cs="ITCCharterCom-Regular"/>
          <w:color w:val="000000"/>
          <w:szCs w:val="20"/>
        </w:rPr>
        <w:t xml:space="preserve">: the wholesale cloud provider </w:t>
      </w:r>
      <w:r w:rsidR="008B6A67" w:rsidRPr="00DE6B0F">
        <w:rPr>
          <w:rFonts w:cs="ITCCharterCom-Regular"/>
          <w:color w:val="000000"/>
          <w:szCs w:val="20"/>
        </w:rPr>
        <w:t xml:space="preserve">could offer ‘out-of-the-box’ billing solutions’ when the telco </w:t>
      </w:r>
      <w:r w:rsidR="00127BEF" w:rsidRPr="00DE6B0F">
        <w:rPr>
          <w:rFonts w:cs="ITCCharterCom-Black"/>
          <w:color w:val="000000"/>
          <w:szCs w:val="20"/>
        </w:rPr>
        <w:t>has a</w:t>
      </w:r>
      <w:r w:rsidR="008B6A67" w:rsidRPr="00DE6B0F">
        <w:rPr>
          <w:rFonts w:cs="ITCCharterCom-Black"/>
          <w:color w:val="000000"/>
          <w:szCs w:val="20"/>
        </w:rPr>
        <w:t xml:space="preserve"> slow, </w:t>
      </w:r>
      <w:r w:rsidR="00127BEF" w:rsidRPr="00DE6B0F">
        <w:rPr>
          <w:rFonts w:cs="ITCCharterCom-Black"/>
          <w:color w:val="000000"/>
          <w:szCs w:val="20"/>
        </w:rPr>
        <w:t>manually</w:t>
      </w:r>
      <w:r w:rsidR="008B6A67" w:rsidRPr="00DE6B0F">
        <w:rPr>
          <w:rFonts w:cs="ITCCharterCom-Black"/>
          <w:color w:val="000000"/>
          <w:szCs w:val="20"/>
        </w:rPr>
        <w:t xml:space="preserve"> </w:t>
      </w:r>
      <w:r w:rsidR="00127BEF" w:rsidRPr="00DE6B0F">
        <w:rPr>
          <w:rFonts w:cs="ITCCharterCom-Black"/>
          <w:color w:val="000000"/>
          <w:szCs w:val="20"/>
        </w:rPr>
        <w:t>driven</w:t>
      </w:r>
      <w:r w:rsidR="008B6A67" w:rsidRPr="00DE6B0F">
        <w:rPr>
          <w:rFonts w:cs="ITCCharterCom-Black"/>
          <w:color w:val="000000"/>
          <w:szCs w:val="20"/>
        </w:rPr>
        <w:t xml:space="preserve"> </w:t>
      </w:r>
      <w:r w:rsidR="00127BEF" w:rsidRPr="00DE6B0F">
        <w:rPr>
          <w:rFonts w:cs="ITCCharterCom-Black"/>
          <w:color w:val="000000"/>
          <w:szCs w:val="20"/>
        </w:rPr>
        <w:t>customer billing</w:t>
      </w:r>
      <w:r w:rsidR="008B6A67" w:rsidRPr="00DE6B0F">
        <w:rPr>
          <w:rFonts w:cs="ITCCharterCom-Black"/>
          <w:color w:val="000000"/>
          <w:szCs w:val="20"/>
        </w:rPr>
        <w:t xml:space="preserve"> </w:t>
      </w:r>
      <w:r w:rsidR="00127BEF" w:rsidRPr="00DE6B0F">
        <w:rPr>
          <w:rFonts w:cs="ITCCharterCom-Black"/>
          <w:color w:val="000000"/>
          <w:szCs w:val="20"/>
        </w:rPr>
        <w:t xml:space="preserve">process. </w:t>
      </w:r>
    </w:p>
    <w:p w:rsidR="008B6A67" w:rsidRPr="00DE6B0F" w:rsidRDefault="008B6A67" w:rsidP="008B6A67">
      <w:pPr>
        <w:autoSpaceDE w:val="0"/>
        <w:autoSpaceDN w:val="0"/>
        <w:adjustRightInd w:val="0"/>
        <w:spacing w:line="240" w:lineRule="auto"/>
        <w:rPr>
          <w:rFonts w:cs="ITCCharterCom-Black"/>
          <w:color w:val="000000"/>
          <w:szCs w:val="20"/>
        </w:rPr>
      </w:pPr>
    </w:p>
    <w:p w:rsidR="008B6A67" w:rsidRPr="00DE6B0F" w:rsidRDefault="008B6A67" w:rsidP="008B6A67">
      <w:pPr>
        <w:autoSpaceDE w:val="0"/>
        <w:autoSpaceDN w:val="0"/>
        <w:adjustRightInd w:val="0"/>
        <w:spacing w:line="240" w:lineRule="auto"/>
        <w:rPr>
          <w:rFonts w:cs="ITCCharterCom-Black"/>
          <w:b/>
          <w:color w:val="000000"/>
          <w:szCs w:val="20"/>
        </w:rPr>
      </w:pPr>
      <w:r w:rsidRPr="00DE6B0F">
        <w:rPr>
          <w:rFonts w:cs="ITCCharterCom-Black"/>
          <w:b/>
          <w:color w:val="000000"/>
          <w:szCs w:val="20"/>
        </w:rPr>
        <w:t>Conclusion</w:t>
      </w:r>
    </w:p>
    <w:p w:rsidR="008B6A67" w:rsidRPr="00DE6B0F" w:rsidRDefault="008B6A67" w:rsidP="008B6A67">
      <w:pPr>
        <w:autoSpaceDE w:val="0"/>
        <w:autoSpaceDN w:val="0"/>
        <w:adjustRightInd w:val="0"/>
        <w:spacing w:line="240" w:lineRule="auto"/>
        <w:rPr>
          <w:rFonts w:cs="ITCCharterCom-BlackItalic"/>
          <w:iCs/>
          <w:szCs w:val="20"/>
        </w:rPr>
      </w:pPr>
      <w:r w:rsidRPr="00DE6B0F">
        <w:rPr>
          <w:rFonts w:cs="ITCCharterCom-Black"/>
          <w:color w:val="000000"/>
          <w:szCs w:val="20"/>
        </w:rPr>
        <w:t xml:space="preserve">Choosing the </w:t>
      </w:r>
      <w:r w:rsidR="006B12A3">
        <w:rPr>
          <w:rFonts w:cs="ITCCharterCom-Black"/>
          <w:color w:val="000000"/>
          <w:szCs w:val="20"/>
        </w:rPr>
        <w:t>appropriate</w:t>
      </w:r>
      <w:r w:rsidR="006B12A3" w:rsidRPr="00DE6B0F">
        <w:rPr>
          <w:rFonts w:cs="ITCCharterCom-Black"/>
          <w:color w:val="000000"/>
          <w:szCs w:val="20"/>
        </w:rPr>
        <w:t xml:space="preserve"> </w:t>
      </w:r>
      <w:r w:rsidRPr="00DE6B0F">
        <w:rPr>
          <w:rFonts w:cs="ITCCharterCom-Black"/>
          <w:color w:val="000000"/>
          <w:szCs w:val="20"/>
        </w:rPr>
        <w:t>wholesale cloud provider is as crucial a decision for a telco as deciding to use the wholesale approach.  Many</w:t>
      </w:r>
      <w:r w:rsidR="003C62E9" w:rsidRPr="00DE6B0F">
        <w:rPr>
          <w:rFonts w:cs="ITCCharterCom-Black"/>
          <w:color w:val="000000"/>
          <w:szCs w:val="20"/>
        </w:rPr>
        <w:t xml:space="preserve"> telcos </w:t>
      </w:r>
      <w:r w:rsidRPr="00DE6B0F">
        <w:rPr>
          <w:rFonts w:cs="ITCCharterCom-Black"/>
          <w:color w:val="000000"/>
          <w:szCs w:val="20"/>
        </w:rPr>
        <w:t>attempt to integrate new cloud services</w:t>
      </w:r>
      <w:r w:rsidR="003C62E9" w:rsidRPr="00DE6B0F">
        <w:rPr>
          <w:rFonts w:cs="ITCCharterCom-Black"/>
          <w:color w:val="000000"/>
          <w:szCs w:val="20"/>
        </w:rPr>
        <w:t xml:space="preserve"> with existing legacy systems that are typically not a sustainable, scalable model</w:t>
      </w:r>
      <w:r w:rsidR="00D23C5B">
        <w:rPr>
          <w:rFonts w:cs="ITCCharterCom-Black"/>
          <w:color w:val="000000"/>
          <w:szCs w:val="20"/>
        </w:rPr>
        <w:t>, the report says</w:t>
      </w:r>
      <w:r w:rsidR="003C62E9" w:rsidRPr="00DE6B0F">
        <w:rPr>
          <w:rFonts w:cs="ITCCharterCom-Black"/>
          <w:color w:val="000000"/>
          <w:szCs w:val="20"/>
        </w:rPr>
        <w:t>. The immediacy and demands of cloud services require fast, consistent service and systems.</w:t>
      </w:r>
      <w:r w:rsidR="00672373" w:rsidRPr="00DE6B0F">
        <w:rPr>
          <w:rFonts w:cs="ITCCharterCom-Black"/>
          <w:color w:val="000000"/>
          <w:szCs w:val="20"/>
        </w:rPr>
        <w:t xml:space="preserve"> </w:t>
      </w:r>
      <w:r w:rsidR="00EC4195" w:rsidRPr="00DE6B0F">
        <w:rPr>
          <w:rFonts w:cs="ITCCharterCom-Black"/>
          <w:szCs w:val="20"/>
        </w:rPr>
        <w:t xml:space="preserve">For </w:t>
      </w:r>
      <w:r w:rsidR="006B12A3">
        <w:rPr>
          <w:rFonts w:cs="ITCCharterCom-Black"/>
          <w:szCs w:val="20"/>
        </w:rPr>
        <w:t>appropriate</w:t>
      </w:r>
      <w:r w:rsidR="006B12A3" w:rsidRPr="00DE6B0F">
        <w:rPr>
          <w:rFonts w:cs="ITCCharterCom-Black"/>
          <w:szCs w:val="20"/>
        </w:rPr>
        <w:t xml:space="preserve"> </w:t>
      </w:r>
      <w:r w:rsidR="00EC4195" w:rsidRPr="00DE6B0F">
        <w:rPr>
          <w:rFonts w:cs="ITCCharterCom-Black"/>
          <w:szCs w:val="20"/>
        </w:rPr>
        <w:t>outcomes, w</w:t>
      </w:r>
      <w:r w:rsidR="003C62E9" w:rsidRPr="00DE6B0F">
        <w:rPr>
          <w:rFonts w:cs="ITCCharterCom-Black"/>
          <w:szCs w:val="20"/>
        </w:rPr>
        <w:t xml:space="preserve">holesale cloud service providers </w:t>
      </w:r>
      <w:r w:rsidR="00EC4195" w:rsidRPr="00DE6B0F">
        <w:rPr>
          <w:rFonts w:cs="ITCCharterCom-Black"/>
          <w:szCs w:val="20"/>
        </w:rPr>
        <w:t>should offer</w:t>
      </w:r>
      <w:r w:rsidRPr="00DE6B0F">
        <w:rPr>
          <w:rFonts w:cs="ITCCharterCom-BlackItalic"/>
          <w:iCs/>
          <w:szCs w:val="20"/>
        </w:rPr>
        <w:t xml:space="preserve"> end-users</w:t>
      </w:r>
      <w:r w:rsidR="00EC4195" w:rsidRPr="00DE6B0F">
        <w:rPr>
          <w:rFonts w:cs="ITCCharterCom-Black"/>
          <w:szCs w:val="20"/>
        </w:rPr>
        <w:t xml:space="preserve"> </w:t>
      </w:r>
      <w:r w:rsidRPr="00DE6B0F">
        <w:rPr>
          <w:rFonts w:cs="ITCCharterCom-BlackItalic"/>
          <w:iCs/>
          <w:szCs w:val="20"/>
        </w:rPr>
        <w:t>a well-defined Service</w:t>
      </w:r>
      <w:r w:rsidR="00EC4195" w:rsidRPr="00DE6B0F">
        <w:rPr>
          <w:rFonts w:cs="ITCCharterCom-BlackItalic"/>
          <w:iCs/>
          <w:szCs w:val="20"/>
        </w:rPr>
        <w:t xml:space="preserve"> </w:t>
      </w:r>
      <w:r w:rsidRPr="00DE6B0F">
        <w:rPr>
          <w:rFonts w:cs="ITCCharterCom-BlackItalic"/>
          <w:iCs/>
          <w:szCs w:val="20"/>
        </w:rPr>
        <w:t>Level Agreement (SLA)</w:t>
      </w:r>
      <w:r w:rsidR="00EC4195" w:rsidRPr="00DE6B0F">
        <w:rPr>
          <w:rFonts w:cs="ITCCharterCom-BlackItalic"/>
          <w:iCs/>
          <w:szCs w:val="20"/>
        </w:rPr>
        <w:t xml:space="preserve"> as well as reporting capabilities </w:t>
      </w:r>
      <w:r w:rsidRPr="00DE6B0F">
        <w:rPr>
          <w:rFonts w:cs="ITCCharterCom-BlackItalic"/>
          <w:iCs/>
          <w:szCs w:val="20"/>
        </w:rPr>
        <w:t>to prove compliance to</w:t>
      </w:r>
      <w:r w:rsidR="00672373" w:rsidRPr="00DE6B0F">
        <w:rPr>
          <w:rFonts w:cs="ITCCharterCom-BlackItalic"/>
          <w:iCs/>
          <w:szCs w:val="20"/>
        </w:rPr>
        <w:t xml:space="preserve"> </w:t>
      </w:r>
      <w:r w:rsidRPr="00DE6B0F">
        <w:rPr>
          <w:rFonts w:cs="ITCCharterCom-BlackItalic"/>
          <w:iCs/>
          <w:szCs w:val="20"/>
        </w:rPr>
        <w:t>these SLAs</w:t>
      </w:r>
      <w:r w:rsidR="00EC4195" w:rsidRPr="00DE6B0F">
        <w:rPr>
          <w:rFonts w:cs="ITCCharterCom-BlackItalic"/>
          <w:iCs/>
          <w:szCs w:val="20"/>
        </w:rPr>
        <w:t>.</w:t>
      </w:r>
    </w:p>
    <w:p w:rsidR="00672373" w:rsidRPr="00DE6B0F" w:rsidRDefault="00672373" w:rsidP="008B6A67">
      <w:pPr>
        <w:autoSpaceDE w:val="0"/>
        <w:autoSpaceDN w:val="0"/>
        <w:adjustRightInd w:val="0"/>
        <w:spacing w:line="240" w:lineRule="auto"/>
        <w:rPr>
          <w:rFonts w:cs="ITCCharterCom-BlackItalic"/>
          <w:iCs/>
          <w:szCs w:val="20"/>
        </w:rPr>
      </w:pPr>
    </w:p>
    <w:p w:rsidR="008B6A67" w:rsidRPr="00993039" w:rsidRDefault="00923D6B" w:rsidP="00FD457C">
      <w:pPr>
        <w:rPr>
          <w:rFonts w:cs="ITCCharterCom-Black"/>
          <w:color w:val="000000"/>
          <w:szCs w:val="20"/>
        </w:rPr>
      </w:pPr>
      <w:r w:rsidRPr="00993039">
        <w:rPr>
          <w:szCs w:val="20"/>
        </w:rPr>
        <w:t>Pierre-Alain Sur, Global Communications Industry Leader, PwC, said:</w:t>
      </w:r>
      <w:r w:rsidR="00FD457C">
        <w:rPr>
          <w:szCs w:val="20"/>
        </w:rPr>
        <w:t xml:space="preserve"> </w:t>
      </w:r>
      <w:r w:rsidR="008B6A67" w:rsidRPr="00993039">
        <w:rPr>
          <w:rFonts w:cs="ITCCharterCom-Black"/>
          <w:color w:val="000000"/>
          <w:szCs w:val="20"/>
        </w:rPr>
        <w:t xml:space="preserve">“Telcos need to recognise their strengths and limitations in equal measure. </w:t>
      </w:r>
      <w:r w:rsidR="00672373" w:rsidRPr="00993039">
        <w:rPr>
          <w:rFonts w:cs="ITCCharterCom-Black"/>
          <w:color w:val="000000"/>
          <w:szCs w:val="20"/>
        </w:rPr>
        <w:t xml:space="preserve">There needs to be a strategic connection between the </w:t>
      </w:r>
      <w:r w:rsidR="008B6A67" w:rsidRPr="00993039">
        <w:rPr>
          <w:rFonts w:cs="ITCCharterCom-Black"/>
          <w:color w:val="000000"/>
          <w:szCs w:val="20"/>
        </w:rPr>
        <w:t>wholesale cloud provider</w:t>
      </w:r>
      <w:r w:rsidR="00672373" w:rsidRPr="00993039">
        <w:rPr>
          <w:rFonts w:cs="ITCCharterCom-Black"/>
          <w:color w:val="000000"/>
          <w:szCs w:val="20"/>
        </w:rPr>
        <w:t>’s offerings</w:t>
      </w:r>
      <w:r w:rsidR="008B6A67" w:rsidRPr="00993039">
        <w:rPr>
          <w:rFonts w:cs="ITCCharterCom-Black"/>
          <w:color w:val="000000"/>
          <w:szCs w:val="20"/>
        </w:rPr>
        <w:t xml:space="preserve"> </w:t>
      </w:r>
      <w:r w:rsidRPr="00993039">
        <w:rPr>
          <w:rFonts w:cs="ITCCharterCom-Black"/>
          <w:color w:val="000000"/>
          <w:szCs w:val="20"/>
        </w:rPr>
        <w:t xml:space="preserve">and the </w:t>
      </w:r>
      <w:r w:rsidR="008B6A67" w:rsidRPr="00993039">
        <w:rPr>
          <w:rFonts w:cs="ITCCharterCom-Black"/>
          <w:color w:val="000000"/>
          <w:szCs w:val="20"/>
        </w:rPr>
        <w:t>telco’s current capabilities</w:t>
      </w:r>
      <w:r w:rsidR="00672373" w:rsidRPr="00993039">
        <w:rPr>
          <w:rFonts w:cs="ITCCharterCom-Black"/>
          <w:color w:val="000000"/>
          <w:szCs w:val="20"/>
        </w:rPr>
        <w:t xml:space="preserve">, as that connection </w:t>
      </w:r>
      <w:r w:rsidR="008B6A67" w:rsidRPr="00993039">
        <w:rPr>
          <w:rFonts w:cs="ITCCharterCom-Black"/>
          <w:color w:val="000000"/>
          <w:szCs w:val="20"/>
        </w:rPr>
        <w:t xml:space="preserve">is largely representative </w:t>
      </w:r>
      <w:r w:rsidRPr="00993039">
        <w:rPr>
          <w:rFonts w:cs="ITCCharterCom-Black"/>
          <w:color w:val="000000"/>
          <w:szCs w:val="20"/>
        </w:rPr>
        <w:t xml:space="preserve">of the likelihood of success when entering </w:t>
      </w:r>
      <w:r w:rsidR="008B6A67" w:rsidRPr="00993039">
        <w:rPr>
          <w:rFonts w:cs="ITCCharterCom-Black"/>
          <w:color w:val="000000"/>
          <w:szCs w:val="20"/>
        </w:rPr>
        <w:t>the competitive cloud market.</w:t>
      </w:r>
      <w:r w:rsidR="00EC4195" w:rsidRPr="00993039">
        <w:rPr>
          <w:rFonts w:cs="ITCCharterCom-Black"/>
          <w:color w:val="000000"/>
          <w:szCs w:val="20"/>
        </w:rPr>
        <w:t xml:space="preserve"> </w:t>
      </w:r>
      <w:r w:rsidR="00672373" w:rsidRPr="00993039">
        <w:rPr>
          <w:rFonts w:cs="ITCCharterCom-Black"/>
          <w:color w:val="000000"/>
          <w:szCs w:val="20"/>
        </w:rPr>
        <w:t>Issues such as billing, SLAs and the ability to activate new services swiftly need to be systemically and diligently evaluated by the telco to select the right wholesale partner</w:t>
      </w:r>
      <w:r w:rsidR="00D23C5B">
        <w:rPr>
          <w:rFonts w:cs="ITCCharterCom-Black"/>
          <w:color w:val="000000"/>
          <w:szCs w:val="20"/>
        </w:rPr>
        <w:t>.</w:t>
      </w:r>
      <w:r w:rsidR="008B6A67" w:rsidRPr="00993039">
        <w:rPr>
          <w:rFonts w:cs="ITCCharterCom-Black"/>
          <w:color w:val="000000"/>
          <w:szCs w:val="20"/>
        </w:rPr>
        <w:t>”</w:t>
      </w:r>
    </w:p>
    <w:p w:rsidR="008B6A67" w:rsidRPr="00993039" w:rsidRDefault="008B6A67" w:rsidP="00BB47ED">
      <w:pPr>
        <w:tabs>
          <w:tab w:val="left" w:pos="2010"/>
        </w:tabs>
        <w:autoSpaceDE w:val="0"/>
        <w:autoSpaceDN w:val="0"/>
        <w:adjustRightInd w:val="0"/>
        <w:spacing w:line="240" w:lineRule="auto"/>
        <w:rPr>
          <w:rFonts w:cs="ITCCharterCom-Black"/>
          <w:color w:val="000000"/>
          <w:szCs w:val="20"/>
        </w:rPr>
      </w:pPr>
    </w:p>
    <w:p w:rsidR="00D81336" w:rsidRPr="00993039" w:rsidRDefault="00672373">
      <w:pPr>
        <w:rPr>
          <w:rFonts w:cs="Arial"/>
          <w:b/>
          <w:color w:val="000000"/>
          <w:szCs w:val="20"/>
        </w:rPr>
      </w:pPr>
      <w:r w:rsidRPr="00993039">
        <w:rPr>
          <w:rFonts w:cs="Arial"/>
          <w:b/>
          <w:color w:val="000000"/>
          <w:szCs w:val="20"/>
        </w:rPr>
        <w:t xml:space="preserve"> </w:t>
      </w:r>
      <w:r w:rsidR="00A77FF6" w:rsidRPr="00993039">
        <w:rPr>
          <w:rFonts w:cs="Arial"/>
          <w:b/>
          <w:color w:val="000000"/>
          <w:szCs w:val="20"/>
        </w:rPr>
        <w:t>Notes:</w:t>
      </w:r>
    </w:p>
    <w:p w:rsidR="00CE5EB5" w:rsidRPr="00993039" w:rsidRDefault="00CE5EB5">
      <w:pPr>
        <w:rPr>
          <w:rFonts w:cs="Arial"/>
          <w:b/>
          <w:color w:val="000000"/>
          <w:szCs w:val="20"/>
        </w:rPr>
      </w:pPr>
    </w:p>
    <w:p w:rsidR="00A252FA" w:rsidRPr="00993039" w:rsidRDefault="004B740C" w:rsidP="004B740C">
      <w:pPr>
        <w:autoSpaceDE w:val="0"/>
        <w:autoSpaceDN w:val="0"/>
        <w:adjustRightInd w:val="0"/>
        <w:spacing w:line="240" w:lineRule="auto"/>
        <w:rPr>
          <w:sz w:val="16"/>
          <w:szCs w:val="16"/>
        </w:rPr>
      </w:pPr>
      <w:r w:rsidRPr="00993039">
        <w:rPr>
          <w:sz w:val="16"/>
          <w:szCs w:val="16"/>
        </w:rPr>
        <w:t xml:space="preserve">1 </w:t>
      </w:r>
      <w:hyperlink r:id="rId9" w:history="1">
        <w:r w:rsidRPr="00993039">
          <w:rPr>
            <w:rStyle w:val="Hyperlink"/>
            <w:rFonts w:cs="HelveticaNeue-Roman"/>
            <w:sz w:val="14"/>
            <w:szCs w:val="14"/>
          </w:rPr>
          <w:t>Gartner ‘Forecast Overview: Public Cloud Services, Worldwide, 2Q13 Update’, August 28, 2013</w:t>
        </w:r>
      </w:hyperlink>
    </w:p>
    <w:p w:rsidR="00D81336" w:rsidRDefault="00D81336" w:rsidP="00F17ADF">
      <w:pPr>
        <w:rPr>
          <w:rFonts w:cs="Arial"/>
          <w:color w:val="000000"/>
          <w:sz w:val="18"/>
          <w:szCs w:val="18"/>
        </w:rPr>
      </w:pPr>
    </w:p>
    <w:p w:rsidR="00FD457C" w:rsidRPr="00C7234F" w:rsidRDefault="00FD457C" w:rsidP="00F17ADF">
      <w:pPr>
        <w:rPr>
          <w:rFonts w:cs="Arial"/>
          <w:color w:val="000000"/>
          <w:sz w:val="18"/>
          <w:szCs w:val="18"/>
        </w:rPr>
      </w:pPr>
      <w:r>
        <w:rPr>
          <w:rFonts w:cs="Arial"/>
          <w:color w:val="000000"/>
          <w:sz w:val="18"/>
          <w:szCs w:val="18"/>
        </w:rPr>
        <w:t>About PwC</w:t>
      </w:r>
      <w:bookmarkStart w:id="0" w:name="_GoBack"/>
      <w:bookmarkEnd w:id="0"/>
    </w:p>
    <w:p w:rsidR="00BB47ED" w:rsidRPr="00BB47ED" w:rsidRDefault="00BB47ED" w:rsidP="00BB47ED">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i/>
          <w:iCs/>
          <w:color w:val="000000"/>
          <w:sz w:val="18"/>
          <w:szCs w:val="18"/>
        </w:rPr>
      </w:pPr>
      <w:r w:rsidRPr="00BB47ED">
        <w:rPr>
          <w:rFonts w:cs="Arial"/>
          <w:i/>
          <w:iCs/>
          <w:color w:val="000000"/>
          <w:sz w:val="18"/>
          <w:szCs w:val="18"/>
        </w:rPr>
        <w:t>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atwww.pwc.com.</w:t>
      </w:r>
    </w:p>
    <w:p w:rsidR="00BB47ED" w:rsidRPr="00BB47ED" w:rsidRDefault="00BB47ED" w:rsidP="00BB47ED">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i/>
          <w:iCs/>
          <w:color w:val="000000"/>
          <w:sz w:val="18"/>
          <w:szCs w:val="18"/>
        </w:rPr>
      </w:pPr>
    </w:p>
    <w:p w:rsidR="00BB47ED" w:rsidRPr="00BB47ED" w:rsidRDefault="00BB47ED" w:rsidP="00BB47ED">
      <w:pPr>
        <w:rPr>
          <w:sz w:val="18"/>
          <w:szCs w:val="18"/>
        </w:rPr>
      </w:pPr>
      <w:r w:rsidRPr="00BB47ED">
        <w:rPr>
          <w:rFonts w:cs="Arial"/>
          <w:i/>
          <w:iCs/>
          <w:color w:val="000000"/>
          <w:sz w:val="18"/>
          <w:szCs w:val="18"/>
        </w:rPr>
        <w:t>PwC refers to the PwC network and/or one or more of its member firms, each of which is a separate legal entity. Please see www.pwc.com/structure for further details.</w:t>
      </w:r>
    </w:p>
    <w:p w:rsidR="00D81336" w:rsidRPr="00C7234F" w:rsidRDefault="00D81336" w:rsidP="00BB47ED">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Cs/>
          <w:sz w:val="18"/>
          <w:szCs w:val="18"/>
        </w:rPr>
      </w:pPr>
    </w:p>
    <w:sectPr w:rsidR="00D81336" w:rsidRPr="00C7234F" w:rsidSect="00D81336">
      <w:headerReference w:type="even" r:id="rId10"/>
      <w:headerReference w:type="default" r:id="rId11"/>
      <w:footerReference w:type="even" r:id="rId12"/>
      <w:footerReference w:type="default" r:id="rId13"/>
      <w:headerReference w:type="first" r:id="rId14"/>
      <w:pgSz w:w="11907" w:h="16839"/>
      <w:pgMar w:top="3137" w:right="850" w:bottom="1417"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7F" w:rsidRDefault="00EA487F">
      <w:pPr>
        <w:spacing w:line="240" w:lineRule="auto"/>
      </w:pPr>
      <w:r>
        <w:separator/>
      </w:r>
    </w:p>
  </w:endnote>
  <w:endnote w:type="continuationSeparator" w:id="0">
    <w:p w:rsidR="00EA487F" w:rsidRDefault="00EA4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ITCCharterCom-Italic">
    <w:panose1 w:val="00000000000000000000"/>
    <w:charset w:val="00"/>
    <w:family w:val="roman"/>
    <w:notTrueType/>
    <w:pitch w:val="default"/>
    <w:sig w:usb0="00000003" w:usb1="00000000" w:usb2="00000000" w:usb3="00000000" w:csb0="00000001" w:csb1="00000000"/>
  </w:font>
  <w:font w:name="ITCCharterCom-Regular">
    <w:panose1 w:val="00000000000000000000"/>
    <w:charset w:val="00"/>
    <w:family w:val="roman"/>
    <w:notTrueType/>
    <w:pitch w:val="default"/>
    <w:sig w:usb0="00000003" w:usb1="00000000" w:usb2="00000000" w:usb3="00000000" w:csb0="00000001" w:csb1="00000000"/>
  </w:font>
  <w:font w:name="ITCCharterCom-Black">
    <w:panose1 w:val="00000000000000000000"/>
    <w:charset w:val="00"/>
    <w:family w:val="auto"/>
    <w:notTrueType/>
    <w:pitch w:val="default"/>
    <w:sig w:usb0="00000003" w:usb1="00000000" w:usb2="00000000" w:usb3="00000000" w:csb0="00000001" w:csb1="00000000"/>
  </w:font>
  <w:font w:name="ITCCharterCom-BlackItalic">
    <w:panose1 w:val="00000000000000000000"/>
    <w:charset w:val="00"/>
    <w:family w:val="roman"/>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C271C3">
    <w:pPr>
      <w:pStyle w:val="Footer"/>
    </w:pPr>
    <w:r>
      <w:fldChar w:fldCharType="begin"/>
    </w:r>
    <w:r w:rsidR="00393683">
      <w:instrText xml:space="preserve"> PAGE  \* MERGEFORMAT </w:instrText>
    </w:r>
    <w:r>
      <w:fldChar w:fldCharType="separate"/>
    </w:r>
    <w:r w:rsidR="00FD457C">
      <w:rPr>
        <w:noProof/>
      </w:rPr>
      <w:t>2</w:t>
    </w:r>
    <w:r>
      <w:rPr>
        <w:noProof/>
      </w:rPr>
      <w:fldChar w:fldCharType="end"/>
    </w:r>
    <w:r w:rsidR="00A77FF6">
      <w:t xml:space="preserve"> of </w:t>
    </w:r>
    <w:fldSimple w:instr=" NUMPAGES  \* MERGEFORMAT ">
      <w:r w:rsidR="00FD457C">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C271C3">
    <w:pPr>
      <w:pStyle w:val="Footer"/>
    </w:pPr>
    <w:r>
      <w:fldChar w:fldCharType="begin"/>
    </w:r>
    <w:r w:rsidR="00393683">
      <w:instrText xml:space="preserve"> PAGE  \* MERGEFORMAT </w:instrText>
    </w:r>
    <w:r>
      <w:fldChar w:fldCharType="separate"/>
    </w:r>
    <w:r w:rsidR="00672373">
      <w:rPr>
        <w:noProof/>
      </w:rPr>
      <w:t>3</w:t>
    </w:r>
    <w:r>
      <w:rPr>
        <w:noProof/>
      </w:rPr>
      <w:fldChar w:fldCharType="end"/>
    </w:r>
    <w:r w:rsidR="00A77FF6">
      <w:t xml:space="preserve"> of </w:t>
    </w:r>
    <w:fldSimple w:instr=" NUMPAGES  \* MERGEFORMAT ">
      <w:r w:rsidR="00672373">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7F" w:rsidRDefault="00EA487F">
      <w:pPr>
        <w:spacing w:line="240" w:lineRule="auto"/>
      </w:pPr>
      <w:r>
        <w:separator/>
      </w:r>
    </w:p>
  </w:footnote>
  <w:footnote w:type="continuationSeparator" w:id="0">
    <w:p w:rsidR="00EA487F" w:rsidRDefault="00EA48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B10F114"/>
    <w:lvl w:ilvl="0">
      <w:numFmt w:val="bullet"/>
      <w:lvlText w:val="*"/>
      <w:lvlJc w:val="left"/>
    </w:lvl>
  </w:abstractNum>
  <w:abstractNum w:abstractNumId="11">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nsid w:val="1FCE483B"/>
    <w:multiLevelType w:val="hybridMultilevel"/>
    <w:tmpl w:val="8C9E00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E92F87"/>
    <w:multiLevelType w:val="hybridMultilevel"/>
    <w:tmpl w:val="28C47278"/>
    <w:lvl w:ilvl="0" w:tplc="45289F02">
      <w:start w:val="1"/>
      <w:numFmt w:val="decimal"/>
      <w:lvlText w:val="%1."/>
      <w:lvlJc w:val="left"/>
      <w:pPr>
        <w:ind w:left="720" w:hanging="360"/>
      </w:pPr>
    </w:lvl>
    <w:lvl w:ilvl="1" w:tplc="08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0DF71B8"/>
    <w:multiLevelType w:val="hybridMultilevel"/>
    <w:tmpl w:val="F49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E3D4C"/>
    <w:multiLevelType w:val="hybridMultilevel"/>
    <w:tmpl w:val="BEAA203E"/>
    <w:lvl w:ilvl="0" w:tplc="5EB495E0">
      <w:start w:val="1"/>
      <w:numFmt w:val="decimal"/>
      <w:lvlText w:val="%1."/>
      <w:lvlJc w:val="left"/>
      <w:pPr>
        <w:ind w:left="360" w:hanging="360"/>
      </w:pPr>
      <w:rPr>
        <w:rFonts w:ascii="Cambria" w:hAnsi="Cambria" w:hint="default"/>
        <w:sz w:val="20"/>
        <w:szCs w:val="20"/>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49063FD"/>
    <w:multiLevelType w:val="hybridMultilevel"/>
    <w:tmpl w:val="A13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22278"/>
    <w:multiLevelType w:val="hybridMultilevel"/>
    <w:tmpl w:val="F706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0">
    <w:nsid w:val="66EA5E03"/>
    <w:multiLevelType w:val="hybridMultilevel"/>
    <w:tmpl w:val="BD5C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523C64"/>
    <w:multiLevelType w:val="hybridMultilevel"/>
    <w:tmpl w:val="FB467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CB0114"/>
    <w:multiLevelType w:val="hybridMultilevel"/>
    <w:tmpl w:val="2C92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781B763F"/>
    <w:multiLevelType w:val="hybridMultilevel"/>
    <w:tmpl w:val="675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9"/>
  </w:num>
  <w:num w:numId="14">
    <w:abstractNumId w:val="11"/>
  </w:num>
  <w:num w:numId="15">
    <w:abstractNumId w:val="21"/>
  </w:num>
  <w:num w:numId="16">
    <w:abstractNumId w:val="18"/>
  </w:num>
  <w:num w:numId="17">
    <w:abstractNumId w:val="13"/>
  </w:num>
  <w:num w:numId="18">
    <w:abstractNumId w:val="22"/>
  </w:num>
  <w:num w:numId="19">
    <w:abstractNumId w:val="20"/>
  </w:num>
  <w:num w:numId="20">
    <w:abstractNumId w:val="16"/>
  </w:num>
  <w:num w:numId="21">
    <w:abstractNumId w:val="14"/>
  </w:num>
  <w:num w:numId="22">
    <w:abstractNumId w:val="15"/>
  </w:num>
  <w:num w:numId="23">
    <w:abstractNumId w:val="23"/>
  </w:num>
  <w:num w:numId="24">
    <w:abstractNumId w:val="10"/>
    <w:lvlOverride w:ilvl="0">
      <w:lvl w:ilvl="0">
        <w:numFmt w:val="bullet"/>
        <w:lvlText w:val=""/>
        <w:legacy w:legacy="1" w:legacySpace="0" w:legacyIndent="0"/>
        <w:lvlJc w:val="left"/>
        <w:rPr>
          <w:rFonts w:ascii="Symbol" w:hAnsi="Symbol" w:hint="default"/>
          <w:sz w:val="22"/>
        </w:rPr>
      </w:lvl>
    </w:lvlOverride>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36"/>
    <w:rsid w:val="00006AE5"/>
    <w:rsid w:val="0001193B"/>
    <w:rsid w:val="00021346"/>
    <w:rsid w:val="0002648E"/>
    <w:rsid w:val="00044346"/>
    <w:rsid w:val="00046B4E"/>
    <w:rsid w:val="00052E2C"/>
    <w:rsid w:val="000610EB"/>
    <w:rsid w:val="000E26AB"/>
    <w:rsid w:val="000F529D"/>
    <w:rsid w:val="00104713"/>
    <w:rsid w:val="00127BEF"/>
    <w:rsid w:val="00135784"/>
    <w:rsid w:val="00135CC6"/>
    <w:rsid w:val="0014604F"/>
    <w:rsid w:val="00152644"/>
    <w:rsid w:val="00156A70"/>
    <w:rsid w:val="001752F9"/>
    <w:rsid w:val="001805A6"/>
    <w:rsid w:val="00194555"/>
    <w:rsid w:val="001B0FDB"/>
    <w:rsid w:val="001E7D34"/>
    <w:rsid w:val="00204F9E"/>
    <w:rsid w:val="002304B7"/>
    <w:rsid w:val="00230F6C"/>
    <w:rsid w:val="00234BFB"/>
    <w:rsid w:val="00290936"/>
    <w:rsid w:val="002D0A99"/>
    <w:rsid w:val="002D542C"/>
    <w:rsid w:val="003017F6"/>
    <w:rsid w:val="00370039"/>
    <w:rsid w:val="00390080"/>
    <w:rsid w:val="00393683"/>
    <w:rsid w:val="003C62E9"/>
    <w:rsid w:val="003C723B"/>
    <w:rsid w:val="003D6A4B"/>
    <w:rsid w:val="003E3A1F"/>
    <w:rsid w:val="003E7169"/>
    <w:rsid w:val="0042478E"/>
    <w:rsid w:val="00437EBF"/>
    <w:rsid w:val="0044270F"/>
    <w:rsid w:val="00443378"/>
    <w:rsid w:val="0048163B"/>
    <w:rsid w:val="004A4CF4"/>
    <w:rsid w:val="004B06DF"/>
    <w:rsid w:val="004B740C"/>
    <w:rsid w:val="004C70EC"/>
    <w:rsid w:val="004D5CE4"/>
    <w:rsid w:val="00512820"/>
    <w:rsid w:val="005A05B8"/>
    <w:rsid w:val="00614A1D"/>
    <w:rsid w:val="00672373"/>
    <w:rsid w:val="00680895"/>
    <w:rsid w:val="006A0DB1"/>
    <w:rsid w:val="006B12A3"/>
    <w:rsid w:val="006E1F0F"/>
    <w:rsid w:val="00711B16"/>
    <w:rsid w:val="00717145"/>
    <w:rsid w:val="00724D5C"/>
    <w:rsid w:val="00737A54"/>
    <w:rsid w:val="0074049A"/>
    <w:rsid w:val="0077103E"/>
    <w:rsid w:val="007B69E1"/>
    <w:rsid w:val="00814070"/>
    <w:rsid w:val="0083373C"/>
    <w:rsid w:val="00890345"/>
    <w:rsid w:val="008B4F10"/>
    <w:rsid w:val="008B6A67"/>
    <w:rsid w:val="008C4A7C"/>
    <w:rsid w:val="008D3565"/>
    <w:rsid w:val="008F39D9"/>
    <w:rsid w:val="00923D6B"/>
    <w:rsid w:val="00971626"/>
    <w:rsid w:val="00993039"/>
    <w:rsid w:val="00996A98"/>
    <w:rsid w:val="009A690A"/>
    <w:rsid w:val="009D17CC"/>
    <w:rsid w:val="009F01CA"/>
    <w:rsid w:val="009F20C9"/>
    <w:rsid w:val="00A10215"/>
    <w:rsid w:val="00A20CBA"/>
    <w:rsid w:val="00A252FA"/>
    <w:rsid w:val="00A4193A"/>
    <w:rsid w:val="00A50A3B"/>
    <w:rsid w:val="00A51DA6"/>
    <w:rsid w:val="00A5260A"/>
    <w:rsid w:val="00A53B34"/>
    <w:rsid w:val="00A55A9F"/>
    <w:rsid w:val="00A71808"/>
    <w:rsid w:val="00A77FF6"/>
    <w:rsid w:val="00AB1A5B"/>
    <w:rsid w:val="00AE0B7C"/>
    <w:rsid w:val="00AF6C13"/>
    <w:rsid w:val="00B215E9"/>
    <w:rsid w:val="00BB47ED"/>
    <w:rsid w:val="00BC7FAB"/>
    <w:rsid w:val="00BD07A4"/>
    <w:rsid w:val="00BD6496"/>
    <w:rsid w:val="00BE2F72"/>
    <w:rsid w:val="00C00F38"/>
    <w:rsid w:val="00C024AD"/>
    <w:rsid w:val="00C271C3"/>
    <w:rsid w:val="00C3685C"/>
    <w:rsid w:val="00C70A5E"/>
    <w:rsid w:val="00C721FC"/>
    <w:rsid w:val="00C7234F"/>
    <w:rsid w:val="00C94E81"/>
    <w:rsid w:val="00CE123D"/>
    <w:rsid w:val="00CE5EB5"/>
    <w:rsid w:val="00D1599F"/>
    <w:rsid w:val="00D207B0"/>
    <w:rsid w:val="00D23C5B"/>
    <w:rsid w:val="00D370F5"/>
    <w:rsid w:val="00D70544"/>
    <w:rsid w:val="00D73503"/>
    <w:rsid w:val="00D754A8"/>
    <w:rsid w:val="00D75651"/>
    <w:rsid w:val="00D81336"/>
    <w:rsid w:val="00DA612B"/>
    <w:rsid w:val="00DE6B0F"/>
    <w:rsid w:val="00DF77D0"/>
    <w:rsid w:val="00E01B58"/>
    <w:rsid w:val="00E11F82"/>
    <w:rsid w:val="00E12F3D"/>
    <w:rsid w:val="00E62574"/>
    <w:rsid w:val="00EA487F"/>
    <w:rsid w:val="00EB5502"/>
    <w:rsid w:val="00EC30C1"/>
    <w:rsid w:val="00EC4195"/>
    <w:rsid w:val="00EC71C6"/>
    <w:rsid w:val="00EC7646"/>
    <w:rsid w:val="00ED4301"/>
    <w:rsid w:val="00F17ADF"/>
    <w:rsid w:val="00F22648"/>
    <w:rsid w:val="00F36BB7"/>
    <w:rsid w:val="00F63E3D"/>
    <w:rsid w:val="00F65C7E"/>
    <w:rsid w:val="00F76B1C"/>
    <w:rsid w:val="00F90CE6"/>
    <w:rsid w:val="00FC338F"/>
    <w:rsid w:val="00FD457C"/>
    <w:rsid w:val="00FE2520"/>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99"/>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99"/>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artner.com/id=2581118"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4022-B08B-43B8-8926-A59E96F9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shelly</cp:lastModifiedBy>
  <cp:revision>2</cp:revision>
  <cp:lastPrinted>2012-10-30T14:35:00Z</cp:lastPrinted>
  <dcterms:created xsi:type="dcterms:W3CDTF">2013-10-15T19:21:00Z</dcterms:created>
  <dcterms:modified xsi:type="dcterms:W3CDTF">2013-10-15T19:21:00Z</dcterms:modified>
</cp:coreProperties>
</file>