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E4" w:rsidRDefault="004C6ABE">
      <w:pPr>
        <w:tabs>
          <w:tab w:val="center" w:pos="4536"/>
        </w:tabs>
      </w:pPr>
      <w:r w:rsidRPr="004C6ABE">
        <w:rPr>
          <w:noProof/>
          <w:lang w:eastAsia="en-GB"/>
        </w:rPr>
        <w:pict>
          <v:shape id="_x0000_s1029" style="position:absolute;margin-left:87.85pt;margin-top:771.05pt;width:465pt;height:11.35pt;z-index:251657216;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p>
    <w:p w:rsidR="006F6FE4" w:rsidRDefault="006F6FE4">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tblPr>
      <w:tblGrid>
        <w:gridCol w:w="2268"/>
        <w:gridCol w:w="4645"/>
      </w:tblGrid>
      <w:tr w:rsidR="006F6FE4">
        <w:tc>
          <w:tcPr>
            <w:tcW w:w="2268" w:type="dxa"/>
          </w:tcPr>
          <w:p w:rsidR="006F6FE4" w:rsidRDefault="006F6FE4">
            <w:pPr>
              <w:rPr>
                <w:i/>
              </w:rPr>
            </w:pPr>
            <w:r>
              <w:rPr>
                <w:i/>
              </w:rPr>
              <w:t>Date</w:t>
            </w:r>
          </w:p>
        </w:tc>
        <w:tc>
          <w:tcPr>
            <w:tcW w:w="4645" w:type="dxa"/>
          </w:tcPr>
          <w:p w:rsidR="006F6FE4" w:rsidRDefault="006F6FE4">
            <w:pPr>
              <w:rPr>
                <w:b/>
              </w:rPr>
            </w:pPr>
            <w:r>
              <w:rPr>
                <w:b/>
              </w:rPr>
              <w:t>Embargoed until</w:t>
            </w:r>
            <w:r w:rsidR="00ED6E9C">
              <w:rPr>
                <w:b/>
              </w:rPr>
              <w:t xml:space="preserve"> </w:t>
            </w:r>
            <w:r w:rsidR="00FB6E44">
              <w:rPr>
                <w:b/>
              </w:rPr>
              <w:t xml:space="preserve"> </w:t>
            </w:r>
            <w:r w:rsidR="00616CBA">
              <w:rPr>
                <w:b/>
              </w:rPr>
              <w:t>5</w:t>
            </w:r>
            <w:r w:rsidR="00431395">
              <w:rPr>
                <w:b/>
              </w:rPr>
              <w:t xml:space="preserve"> June</w:t>
            </w:r>
            <w:r w:rsidR="00616CBA">
              <w:rPr>
                <w:b/>
              </w:rPr>
              <w:t xml:space="preserve"> 2013</w:t>
            </w:r>
          </w:p>
          <w:p w:rsidR="006F6FE4" w:rsidRDefault="006F6FE4"/>
        </w:tc>
      </w:tr>
      <w:tr w:rsidR="006F6FE4" w:rsidRPr="00934D3A">
        <w:tc>
          <w:tcPr>
            <w:tcW w:w="2268" w:type="dxa"/>
          </w:tcPr>
          <w:p w:rsidR="006F6FE4" w:rsidRDefault="006F6FE4">
            <w:pPr>
              <w:rPr>
                <w:i/>
              </w:rPr>
            </w:pPr>
            <w:r>
              <w:rPr>
                <w:i/>
              </w:rPr>
              <w:t>Contact</w:t>
            </w:r>
          </w:p>
        </w:tc>
        <w:tc>
          <w:tcPr>
            <w:tcW w:w="4645" w:type="dxa"/>
          </w:tcPr>
          <w:p w:rsidR="006F6FE4" w:rsidRDefault="006F6FE4">
            <w:pPr>
              <w:tabs>
                <w:tab w:val="left" w:pos="1440"/>
              </w:tabs>
              <w:ind w:left="1440" w:hanging="1440"/>
              <w:rPr>
                <w:rFonts w:cs="Arial"/>
                <w:color w:val="000000"/>
                <w:lang w:val="it-IT"/>
              </w:rPr>
            </w:pPr>
            <w:r>
              <w:rPr>
                <w:rFonts w:cs="Arial"/>
                <w:bCs/>
                <w:color w:val="000000"/>
                <w:lang w:val="it-IT"/>
              </w:rPr>
              <w:t>Gill Carson, Media Relations, PwC</w:t>
            </w:r>
          </w:p>
          <w:p w:rsidR="006F6FE4" w:rsidRDefault="006F6FE4">
            <w:pPr>
              <w:tabs>
                <w:tab w:val="left" w:pos="1440"/>
              </w:tabs>
              <w:ind w:left="1440" w:hanging="1440"/>
              <w:rPr>
                <w:rFonts w:cs="Arial"/>
                <w:color w:val="000000"/>
                <w:lang w:val="it-IT"/>
              </w:rPr>
            </w:pPr>
            <w:r>
              <w:rPr>
                <w:rFonts w:cs="Arial"/>
                <w:color w:val="000000"/>
                <w:lang w:val="it-IT"/>
              </w:rPr>
              <w:t>Tel: 020</w:t>
            </w:r>
            <w:r w:rsidR="00431395">
              <w:rPr>
                <w:rFonts w:cs="Arial"/>
                <w:color w:val="000000"/>
                <w:lang w:val="it-IT"/>
              </w:rPr>
              <w:t xml:space="preserve"> 7</w:t>
            </w:r>
            <w:r>
              <w:rPr>
                <w:rFonts w:cs="Arial"/>
                <w:color w:val="000000"/>
                <w:lang w:val="it-IT"/>
              </w:rPr>
              <w:t>212 1391</w:t>
            </w:r>
          </w:p>
          <w:p w:rsidR="006F6FE4" w:rsidRDefault="006F6FE4">
            <w:pPr>
              <w:pStyle w:val="Header"/>
              <w:tabs>
                <w:tab w:val="left" w:pos="1440"/>
              </w:tabs>
              <w:ind w:left="1440" w:hanging="1440"/>
              <w:rPr>
                <w:lang w:val="de-DE"/>
              </w:rPr>
            </w:pPr>
            <w:r>
              <w:rPr>
                <w:rFonts w:cs="Arial"/>
                <w:color w:val="000000"/>
                <w:lang w:val="it-IT"/>
              </w:rPr>
              <w:t xml:space="preserve">e-mail: </w:t>
            </w:r>
            <w:hyperlink r:id="rId8" w:history="1">
              <w:r>
                <w:rPr>
                  <w:rStyle w:val="Hyperlink"/>
                  <w:rFonts w:cs="Arial"/>
                  <w:lang w:val="it-IT"/>
                </w:rPr>
                <w:t>gill.carson@uk.pwc.com</w:t>
              </w:r>
            </w:hyperlink>
          </w:p>
          <w:p w:rsidR="006F6FE4" w:rsidRDefault="006F6FE4">
            <w:pPr>
              <w:pStyle w:val="Header"/>
              <w:tabs>
                <w:tab w:val="left" w:pos="1440"/>
              </w:tabs>
              <w:ind w:left="1440" w:hanging="1440"/>
              <w:rPr>
                <w:lang w:val="de-DE"/>
              </w:rPr>
            </w:pPr>
          </w:p>
        </w:tc>
      </w:tr>
      <w:tr w:rsidR="006F6FE4">
        <w:tc>
          <w:tcPr>
            <w:tcW w:w="2268" w:type="dxa"/>
          </w:tcPr>
          <w:p w:rsidR="006F6FE4" w:rsidRDefault="006F6FE4">
            <w:pPr>
              <w:rPr>
                <w:i/>
              </w:rPr>
            </w:pPr>
            <w:r>
              <w:rPr>
                <w:i/>
              </w:rPr>
              <w:t xml:space="preserve">Pages </w:t>
            </w:r>
          </w:p>
        </w:tc>
        <w:tc>
          <w:tcPr>
            <w:tcW w:w="4645" w:type="dxa"/>
          </w:tcPr>
          <w:p w:rsidR="006F6FE4" w:rsidRDefault="006F6FE4">
            <w:r>
              <w:t>2</w:t>
            </w:r>
          </w:p>
        </w:tc>
      </w:tr>
    </w:tbl>
    <w:p w:rsidR="006F6FE4" w:rsidRDefault="004C6ABE" w:rsidP="0063219E">
      <w:pPr>
        <w:rPr>
          <w:rFonts w:cs="Arial"/>
          <w:b/>
          <w:i/>
          <w:iCs/>
        </w:rPr>
      </w:pPr>
      <w:r w:rsidRPr="004C6ABE">
        <w:rPr>
          <w:noProof/>
          <w:sz w:val="24"/>
          <w:szCs w:val="20"/>
          <w:lang w:eastAsia="en-GB"/>
        </w:rPr>
        <w:pict>
          <v:line id="_x0000_s1030" style="position:absolute;z-index:251658240;mso-position-horizontal-relative:page;mso-position-vertical-relative:page" from="94.05pt,285.25pt" to="549.1pt,285.25pt" strokecolor="#e36c0a">
            <w10:wrap anchorx="page" anchory="page"/>
          </v:line>
        </w:pict>
      </w:r>
      <w:r w:rsidR="006F6FE4">
        <w:rPr>
          <w:rFonts w:cs="Arial"/>
          <w:b/>
          <w:i/>
          <w:iCs/>
        </w:rPr>
        <w:br w:type="textWrapping" w:clear="all"/>
      </w:r>
    </w:p>
    <w:p w:rsidR="006F6FE4" w:rsidRDefault="006F6FE4" w:rsidP="0063219E">
      <w:pPr>
        <w:pStyle w:val="Heading"/>
        <w:rPr>
          <w:rFonts w:ascii="Georgia" w:hAnsi="Georgia"/>
          <w:sz w:val="20"/>
        </w:rPr>
      </w:pPr>
    </w:p>
    <w:p w:rsidR="00D44D21" w:rsidRDefault="00D44D21" w:rsidP="0063219E">
      <w:pPr>
        <w:pStyle w:val="Heading"/>
        <w:rPr>
          <w:rFonts w:ascii="Georgia" w:hAnsi="Georgia"/>
          <w:sz w:val="20"/>
        </w:rPr>
      </w:pPr>
    </w:p>
    <w:p w:rsidR="00616CBA" w:rsidRPr="00A75A4E" w:rsidRDefault="00336978" w:rsidP="00C96375">
      <w:pPr>
        <w:autoSpaceDE w:val="0"/>
        <w:autoSpaceDN w:val="0"/>
        <w:adjustRightInd w:val="0"/>
        <w:snapToGrid w:val="0"/>
        <w:spacing w:line="240" w:lineRule="auto"/>
        <w:rPr>
          <w:rFonts w:eastAsia="SimSun"/>
          <w:b/>
          <w:color w:val="000000"/>
          <w:szCs w:val="20"/>
        </w:rPr>
      </w:pPr>
      <w:r w:rsidRPr="00A75A4E">
        <w:rPr>
          <w:rFonts w:eastAsia="SimSun"/>
          <w:b/>
          <w:color w:val="000000"/>
          <w:szCs w:val="20"/>
        </w:rPr>
        <w:t>Flat revenues, falling profits and plunging share prices</w:t>
      </w:r>
      <w:r w:rsidR="009F4CF4">
        <w:rPr>
          <w:rFonts w:eastAsia="SimSun"/>
          <w:b/>
          <w:color w:val="000000"/>
          <w:szCs w:val="20"/>
        </w:rPr>
        <w:t xml:space="preserve"> </w:t>
      </w:r>
      <w:r w:rsidRPr="00A75A4E">
        <w:rPr>
          <w:rFonts w:eastAsia="SimSun"/>
          <w:b/>
          <w:color w:val="000000"/>
          <w:szCs w:val="20"/>
        </w:rPr>
        <w:t xml:space="preserve">- </w:t>
      </w:r>
      <w:r w:rsidR="009F4CF4">
        <w:rPr>
          <w:rFonts w:eastAsia="SimSun"/>
          <w:b/>
          <w:color w:val="000000"/>
          <w:szCs w:val="20"/>
        </w:rPr>
        <w:t>g</w:t>
      </w:r>
      <w:r w:rsidRPr="00A75A4E">
        <w:rPr>
          <w:rFonts w:eastAsia="SimSun"/>
          <w:b/>
          <w:color w:val="000000"/>
          <w:szCs w:val="20"/>
        </w:rPr>
        <w:t xml:space="preserve">lobal mining industry faces a confidence crisis </w:t>
      </w:r>
    </w:p>
    <w:p w:rsidR="00C96375" w:rsidRPr="00616CBA" w:rsidRDefault="00C96375" w:rsidP="00C96375">
      <w:pPr>
        <w:autoSpaceDE w:val="0"/>
        <w:autoSpaceDN w:val="0"/>
        <w:adjustRightInd w:val="0"/>
        <w:snapToGrid w:val="0"/>
        <w:spacing w:line="240" w:lineRule="auto"/>
        <w:rPr>
          <w:rFonts w:eastAsia="SimSun"/>
          <w:b/>
          <w:color w:val="000000"/>
          <w:szCs w:val="20"/>
        </w:rPr>
      </w:pPr>
    </w:p>
    <w:p w:rsidR="00ED4D69" w:rsidRPr="00E9578B" w:rsidRDefault="00ED4D69" w:rsidP="00E9578B">
      <w:pPr>
        <w:numPr>
          <w:ilvl w:val="0"/>
          <w:numId w:val="5"/>
        </w:numPr>
        <w:autoSpaceDE w:val="0"/>
        <w:autoSpaceDN w:val="0"/>
        <w:adjustRightInd w:val="0"/>
        <w:spacing w:line="240" w:lineRule="auto"/>
        <w:rPr>
          <w:rFonts w:cs="Arial"/>
          <w:bCs/>
          <w:i/>
          <w:color w:val="000000"/>
          <w:szCs w:val="20"/>
          <w:lang w:val="en-AU" w:eastAsia="en-AU"/>
        </w:rPr>
      </w:pPr>
      <w:r w:rsidRPr="00ED4D69">
        <w:rPr>
          <w:rFonts w:cs="Arial"/>
          <w:bCs/>
          <w:i/>
          <w:color w:val="000000"/>
          <w:szCs w:val="20"/>
          <w:lang w:val="en-AU" w:eastAsia="en-AU"/>
        </w:rPr>
        <w:t>Mining re</w:t>
      </w:r>
      <w:r w:rsidR="00852315">
        <w:rPr>
          <w:rFonts w:cs="Arial"/>
          <w:bCs/>
          <w:i/>
          <w:color w:val="000000"/>
          <w:szCs w:val="20"/>
          <w:lang w:val="en-AU" w:eastAsia="en-AU"/>
        </w:rPr>
        <w:t>venue</w:t>
      </w:r>
      <w:r w:rsidR="001511E4">
        <w:rPr>
          <w:rFonts w:cs="Arial"/>
          <w:bCs/>
          <w:i/>
          <w:color w:val="000000"/>
          <w:szCs w:val="20"/>
          <w:lang w:val="en-AU" w:eastAsia="en-AU"/>
        </w:rPr>
        <w:t>s</w:t>
      </w:r>
      <w:r w:rsidRPr="00ED4D69">
        <w:rPr>
          <w:rFonts w:cs="Arial"/>
          <w:bCs/>
          <w:i/>
          <w:color w:val="000000"/>
          <w:szCs w:val="20"/>
          <w:lang w:val="en-AU" w:eastAsia="en-AU"/>
        </w:rPr>
        <w:t xml:space="preserve"> </w:t>
      </w:r>
      <w:r w:rsidR="00801941">
        <w:rPr>
          <w:rFonts w:cs="Arial"/>
          <w:bCs/>
          <w:i/>
          <w:color w:val="000000"/>
          <w:szCs w:val="20"/>
          <w:lang w:val="en-AU" w:eastAsia="en-AU"/>
        </w:rPr>
        <w:t xml:space="preserve">level </w:t>
      </w:r>
      <w:r w:rsidRPr="00ED4D69">
        <w:rPr>
          <w:rFonts w:cs="Arial"/>
          <w:bCs/>
          <w:i/>
          <w:color w:val="000000"/>
          <w:szCs w:val="20"/>
          <w:lang w:val="en-AU" w:eastAsia="en-AU"/>
        </w:rPr>
        <w:t xml:space="preserve"> at $</w:t>
      </w:r>
      <w:r w:rsidR="00801941">
        <w:rPr>
          <w:rFonts w:cs="Arial"/>
          <w:bCs/>
          <w:i/>
          <w:color w:val="000000"/>
          <w:szCs w:val="20"/>
          <w:lang w:val="en-AU" w:eastAsia="en-AU"/>
        </w:rPr>
        <w:t>731</w:t>
      </w:r>
      <w:r w:rsidRPr="00ED4D69">
        <w:rPr>
          <w:rFonts w:cs="Arial"/>
          <w:bCs/>
          <w:i/>
          <w:color w:val="000000"/>
          <w:szCs w:val="20"/>
          <w:lang w:val="en-AU" w:eastAsia="en-AU"/>
        </w:rPr>
        <w:t xml:space="preserve"> billion</w:t>
      </w:r>
      <w:r w:rsidR="00E9578B">
        <w:rPr>
          <w:rFonts w:cs="Arial"/>
          <w:bCs/>
          <w:i/>
          <w:color w:val="000000"/>
          <w:szCs w:val="20"/>
          <w:lang w:val="en-AU" w:eastAsia="en-AU"/>
        </w:rPr>
        <w:t>; n</w:t>
      </w:r>
      <w:r w:rsidRPr="00E9578B">
        <w:rPr>
          <w:rFonts w:cs="Arial"/>
          <w:bCs/>
          <w:i/>
          <w:color w:val="000000"/>
          <w:szCs w:val="20"/>
          <w:lang w:val="en-AU" w:eastAsia="en-AU"/>
        </w:rPr>
        <w:t>et profits down 49% to $68 billion</w:t>
      </w:r>
    </w:p>
    <w:p w:rsidR="00ED4D69" w:rsidRPr="00E9578B" w:rsidRDefault="00ED4D69" w:rsidP="00E9578B">
      <w:pPr>
        <w:numPr>
          <w:ilvl w:val="0"/>
          <w:numId w:val="5"/>
        </w:numPr>
        <w:autoSpaceDE w:val="0"/>
        <w:autoSpaceDN w:val="0"/>
        <w:adjustRightInd w:val="0"/>
        <w:spacing w:line="240" w:lineRule="auto"/>
        <w:rPr>
          <w:rFonts w:cs="Arial"/>
          <w:bCs/>
          <w:i/>
          <w:color w:val="000000"/>
          <w:szCs w:val="20"/>
          <w:lang w:val="en-AU" w:eastAsia="en-AU"/>
        </w:rPr>
      </w:pPr>
      <w:r w:rsidRPr="00ED4D69">
        <w:rPr>
          <w:rFonts w:cs="Arial"/>
          <w:bCs/>
          <w:i/>
          <w:color w:val="000000"/>
          <w:szCs w:val="20"/>
          <w:lang w:val="en-AU" w:eastAsia="en-AU"/>
        </w:rPr>
        <w:t>Market values down, gold miners hit especially hard</w:t>
      </w:r>
    </w:p>
    <w:p w:rsidR="00ED4D69" w:rsidRDefault="00ED4D69" w:rsidP="00ED4D69">
      <w:pPr>
        <w:numPr>
          <w:ilvl w:val="0"/>
          <w:numId w:val="5"/>
        </w:numPr>
        <w:autoSpaceDE w:val="0"/>
        <w:autoSpaceDN w:val="0"/>
        <w:adjustRightInd w:val="0"/>
        <w:spacing w:line="240" w:lineRule="auto"/>
        <w:rPr>
          <w:rFonts w:cs="Arial"/>
          <w:bCs/>
          <w:i/>
          <w:color w:val="000000"/>
          <w:szCs w:val="20"/>
          <w:lang w:val="en-AU" w:eastAsia="en-AU"/>
        </w:rPr>
      </w:pPr>
      <w:r w:rsidRPr="00ED4D69">
        <w:rPr>
          <w:rFonts w:cs="Arial"/>
          <w:bCs/>
          <w:i/>
          <w:color w:val="000000"/>
          <w:szCs w:val="20"/>
          <w:lang w:val="en-AU" w:eastAsia="en-AU"/>
        </w:rPr>
        <w:t xml:space="preserve">New CEOs at five of the </w:t>
      </w:r>
      <w:r w:rsidR="00801941">
        <w:rPr>
          <w:rFonts w:cs="Arial"/>
          <w:bCs/>
          <w:i/>
          <w:color w:val="000000"/>
          <w:szCs w:val="20"/>
          <w:lang w:val="en-AU" w:eastAsia="en-AU"/>
        </w:rPr>
        <w:t>t</w:t>
      </w:r>
      <w:r w:rsidRPr="00ED4D69">
        <w:rPr>
          <w:rFonts w:cs="Arial"/>
          <w:bCs/>
          <w:i/>
          <w:color w:val="000000"/>
          <w:szCs w:val="20"/>
          <w:lang w:val="en-AU" w:eastAsia="en-AU"/>
        </w:rPr>
        <w:t>op 10 companies</w:t>
      </w:r>
    </w:p>
    <w:p w:rsidR="005A3150" w:rsidRPr="00ED4D69" w:rsidRDefault="00852315" w:rsidP="00ED4D69">
      <w:pPr>
        <w:numPr>
          <w:ilvl w:val="0"/>
          <w:numId w:val="5"/>
        </w:numPr>
        <w:autoSpaceDE w:val="0"/>
        <w:autoSpaceDN w:val="0"/>
        <w:adjustRightInd w:val="0"/>
        <w:spacing w:line="240" w:lineRule="auto"/>
        <w:rPr>
          <w:rFonts w:cs="Arial"/>
          <w:bCs/>
          <w:i/>
          <w:color w:val="000000"/>
          <w:szCs w:val="20"/>
          <w:lang w:val="en-AU" w:eastAsia="en-AU"/>
        </w:rPr>
      </w:pPr>
      <w:r>
        <w:rPr>
          <w:rFonts w:cs="Arial"/>
          <w:bCs/>
          <w:i/>
          <w:color w:val="000000"/>
          <w:szCs w:val="20"/>
          <w:lang w:val="en-AU" w:eastAsia="en-AU"/>
        </w:rPr>
        <w:t xml:space="preserve">Forecast capex of </w:t>
      </w:r>
      <w:r w:rsidR="005A3150">
        <w:rPr>
          <w:rFonts w:cs="Arial"/>
          <w:bCs/>
          <w:i/>
          <w:color w:val="000000"/>
          <w:szCs w:val="20"/>
          <w:lang w:val="en-AU" w:eastAsia="en-AU"/>
        </w:rPr>
        <w:t>$110 billion, 21% lower than 2012</w:t>
      </w:r>
    </w:p>
    <w:p w:rsidR="00616CBA" w:rsidRPr="00616CBA" w:rsidRDefault="00616CBA" w:rsidP="00A47235">
      <w:pPr>
        <w:autoSpaceDE w:val="0"/>
        <w:autoSpaceDN w:val="0"/>
        <w:adjustRightInd w:val="0"/>
        <w:spacing w:line="240" w:lineRule="auto"/>
        <w:ind w:left="720"/>
        <w:rPr>
          <w:rFonts w:cs="Arial"/>
          <w:bCs/>
          <w:i/>
          <w:color w:val="000000"/>
          <w:szCs w:val="20"/>
          <w:highlight w:val="yellow"/>
          <w:lang w:val="en-AU" w:eastAsia="en-AU"/>
        </w:rPr>
      </w:pPr>
    </w:p>
    <w:p w:rsidR="00852315" w:rsidRDefault="00E9578B" w:rsidP="00616CBA">
      <w:pPr>
        <w:snapToGrid w:val="0"/>
        <w:spacing w:after="120"/>
        <w:rPr>
          <w:rFonts w:eastAsia="SimSun"/>
        </w:rPr>
      </w:pPr>
      <w:r w:rsidRPr="009F4CF4">
        <w:rPr>
          <w:rFonts w:eastAsia="SimSun"/>
        </w:rPr>
        <w:t>Over the past decade, the mining industry has outperfo</w:t>
      </w:r>
      <w:r w:rsidR="00A81106" w:rsidRPr="009F4CF4">
        <w:rPr>
          <w:rFonts w:eastAsia="SimSun"/>
        </w:rPr>
        <w:t xml:space="preserve">rmed the broader equity markets but this trend has recently changed. While </w:t>
      </w:r>
      <w:r w:rsidRPr="009F4CF4">
        <w:rPr>
          <w:rFonts w:eastAsia="SimSun"/>
        </w:rPr>
        <w:t>2012 saw mining stocks fall slightly</w:t>
      </w:r>
      <w:r w:rsidR="00A81106" w:rsidRPr="009F4CF4">
        <w:rPr>
          <w:rFonts w:eastAsia="SimSun"/>
        </w:rPr>
        <w:t xml:space="preserve">, they fell nearly 20% in the </w:t>
      </w:r>
      <w:r w:rsidRPr="009F4CF4">
        <w:rPr>
          <w:rFonts w:eastAsia="SimSun"/>
        </w:rPr>
        <w:t xml:space="preserve">first four months </w:t>
      </w:r>
      <w:r w:rsidR="00852315">
        <w:rPr>
          <w:rFonts w:eastAsia="SimSun"/>
        </w:rPr>
        <w:t>of 2013</w:t>
      </w:r>
      <w:r w:rsidR="00E8470E">
        <w:rPr>
          <w:rFonts w:eastAsia="SimSun"/>
        </w:rPr>
        <w:t xml:space="preserve">, according to </w:t>
      </w:r>
      <w:r w:rsidR="00525D34">
        <w:rPr>
          <w:rFonts w:eastAsia="SimSun"/>
        </w:rPr>
        <w:t xml:space="preserve">new analysis from </w:t>
      </w:r>
      <w:r w:rsidR="00E8470E">
        <w:rPr>
          <w:rFonts w:eastAsia="SimSun"/>
        </w:rPr>
        <w:t>PwC</w:t>
      </w:r>
      <w:r w:rsidR="00852315">
        <w:rPr>
          <w:rFonts w:eastAsia="SimSun"/>
        </w:rPr>
        <w:t>.</w:t>
      </w:r>
    </w:p>
    <w:p w:rsidR="00EC3CEA" w:rsidRDefault="00525D34" w:rsidP="00491929">
      <w:pPr>
        <w:snapToGrid w:val="0"/>
        <w:spacing w:after="120"/>
      </w:pPr>
      <w:r>
        <w:rPr>
          <w:rFonts w:eastAsia="SimSun"/>
        </w:rPr>
        <w:t xml:space="preserve">According to the </w:t>
      </w:r>
      <w:r w:rsidRPr="00AD5FBA">
        <w:rPr>
          <w:rFonts w:eastAsia="SimSun"/>
          <w:i/>
        </w:rPr>
        <w:t>Mine</w:t>
      </w:r>
      <w:r>
        <w:rPr>
          <w:rFonts w:eastAsia="SimSun"/>
        </w:rPr>
        <w:t xml:space="preserve"> report, the </w:t>
      </w:r>
      <w:r w:rsidR="00852315" w:rsidRPr="009F4CF4">
        <w:rPr>
          <w:rFonts w:eastAsia="SimSun"/>
        </w:rPr>
        <w:t xml:space="preserve">industry faces a </w:t>
      </w:r>
      <w:r w:rsidR="00852315">
        <w:rPr>
          <w:rFonts w:eastAsia="SimSun"/>
        </w:rPr>
        <w:t>confidence crisis</w:t>
      </w:r>
      <w:r w:rsidR="005B0354">
        <w:rPr>
          <w:rFonts w:eastAsia="SimSun"/>
        </w:rPr>
        <w:t>: c</w:t>
      </w:r>
      <w:r w:rsidR="00852315">
        <w:rPr>
          <w:rFonts w:eastAsia="SimSun"/>
        </w:rPr>
        <w:t xml:space="preserve">onfidence </w:t>
      </w:r>
      <w:r w:rsidR="00491929">
        <w:rPr>
          <w:rFonts w:eastAsia="SimSun"/>
        </w:rPr>
        <w:t>over whether costs</w:t>
      </w:r>
      <w:r w:rsidR="00EC3CEA">
        <w:t xml:space="preserve"> can be controlled</w:t>
      </w:r>
      <w:r w:rsidR="003A53CE">
        <w:t xml:space="preserve">, </w:t>
      </w:r>
      <w:r w:rsidR="00523B50">
        <w:t>return on capital will improve</w:t>
      </w:r>
      <w:r w:rsidR="003A53CE">
        <w:t xml:space="preserve"> and </w:t>
      </w:r>
      <w:r w:rsidR="00523B50">
        <w:t>commodity prices will not collapse</w:t>
      </w:r>
      <w:r w:rsidR="00BB6BE8">
        <w:t>, among others.</w:t>
      </w:r>
      <w:r w:rsidR="00523B50">
        <w:t xml:space="preserve"> </w:t>
      </w:r>
    </w:p>
    <w:p w:rsidR="009F4CF4" w:rsidRDefault="00EC3CEA" w:rsidP="005B4001">
      <w:pPr>
        <w:snapToGrid w:val="0"/>
        <w:spacing w:after="120"/>
      </w:pPr>
      <w:r>
        <w:t>Although it was a</w:t>
      </w:r>
      <w:r w:rsidR="00937BD5" w:rsidRPr="009F4CF4">
        <w:t xml:space="preserve"> turbulent year for commodity prices, </w:t>
      </w:r>
      <w:r w:rsidR="00937BD5" w:rsidRPr="009F4CF4">
        <w:rPr>
          <w:szCs w:val="20"/>
        </w:rPr>
        <w:t xml:space="preserve">PwC’s analysis of the </w:t>
      </w:r>
      <w:r w:rsidR="00852315">
        <w:rPr>
          <w:szCs w:val="20"/>
        </w:rPr>
        <w:t>largest</w:t>
      </w:r>
      <w:r w:rsidR="00937BD5" w:rsidRPr="009F4CF4">
        <w:rPr>
          <w:szCs w:val="20"/>
        </w:rPr>
        <w:t xml:space="preserve"> 40 miners shows </w:t>
      </w:r>
      <w:r w:rsidR="00937BD5" w:rsidRPr="009F4CF4">
        <w:t>total market capitalisation was roughly the same at the end of 2012 as the start</w:t>
      </w:r>
      <w:r w:rsidR="00A62DEA">
        <w:t xml:space="preserve"> -</w:t>
      </w:r>
      <w:r w:rsidR="00937BD5" w:rsidRPr="009F4CF4">
        <w:t xml:space="preserve"> $1.2 trillion</w:t>
      </w:r>
      <w:r w:rsidR="00A62DEA">
        <w:t xml:space="preserve"> -</w:t>
      </w:r>
      <w:r w:rsidR="000B363E" w:rsidRPr="009F4CF4">
        <w:t xml:space="preserve"> b</w:t>
      </w:r>
      <w:r w:rsidR="00937BD5" w:rsidRPr="009F4CF4">
        <w:t xml:space="preserve">ut not for gold miners. The </w:t>
      </w:r>
      <w:r w:rsidR="00801941">
        <w:t xml:space="preserve">gold miners in the </w:t>
      </w:r>
      <w:r w:rsidR="00937BD5" w:rsidRPr="009F4CF4">
        <w:t>top 40 lost $29 billion in 2012</w:t>
      </w:r>
      <w:r w:rsidR="00491929">
        <w:t>,</w:t>
      </w:r>
      <w:r w:rsidR="000B363E" w:rsidRPr="009F4CF4">
        <w:t xml:space="preserve"> </w:t>
      </w:r>
      <w:r w:rsidR="00937BD5" w:rsidRPr="009F4CF4">
        <w:t xml:space="preserve">while in the first four months of </w:t>
      </w:r>
      <w:r w:rsidR="000B363E" w:rsidRPr="009F4CF4">
        <w:t>2013</w:t>
      </w:r>
      <w:r w:rsidR="00F25E76">
        <w:t>,</w:t>
      </w:r>
      <w:r w:rsidR="00491929">
        <w:t xml:space="preserve"> </w:t>
      </w:r>
      <w:r w:rsidR="00937BD5" w:rsidRPr="009F4CF4">
        <w:t>they lost a further $58 billion in value</w:t>
      </w:r>
      <w:r w:rsidR="000B363E" w:rsidRPr="009F4CF4">
        <w:t>. This</w:t>
      </w:r>
      <w:r w:rsidR="00801941">
        <w:t xml:space="preserve"> followed </w:t>
      </w:r>
      <w:r w:rsidR="00937BD5" w:rsidRPr="009F4CF4">
        <w:t>a major sell-off in A</w:t>
      </w:r>
      <w:r w:rsidR="000B363E" w:rsidRPr="009F4CF4">
        <w:t>pril after the largest one-day percentage</w:t>
      </w:r>
      <w:r w:rsidR="00937BD5" w:rsidRPr="009F4CF4">
        <w:t xml:space="preserve"> drop in gold prices since the 1980s.  </w:t>
      </w:r>
    </w:p>
    <w:p w:rsidR="00712A37" w:rsidRPr="005B4001" w:rsidRDefault="00712A37" w:rsidP="005B4001">
      <w:pPr>
        <w:snapToGrid w:val="0"/>
        <w:spacing w:after="120"/>
        <w:rPr>
          <w:rFonts w:eastAsia="SimSun"/>
        </w:rPr>
      </w:pPr>
      <w:r>
        <w:t>Meanwhile, since April 2012, half of the CEOs have been replaced</w:t>
      </w:r>
      <w:r w:rsidR="00491929">
        <w:t xml:space="preserve"> at the largest 10 miners.</w:t>
      </w:r>
    </w:p>
    <w:p w:rsidR="009205D5" w:rsidRDefault="00FB6E44" w:rsidP="009205D5">
      <w:pPr>
        <w:pStyle w:val="BodyText"/>
        <w:snapToGrid w:val="0"/>
        <w:spacing w:after="0" w:line="240" w:lineRule="auto"/>
        <w:rPr>
          <w:rFonts w:eastAsia="SimSun"/>
          <w:color w:val="000000"/>
          <w:szCs w:val="20"/>
        </w:rPr>
      </w:pPr>
      <w:r w:rsidRPr="009F4CF4">
        <w:rPr>
          <w:rFonts w:eastAsia="SimSun"/>
          <w:color w:val="000000"/>
          <w:szCs w:val="20"/>
        </w:rPr>
        <w:t>Tim Goldsmith, global mining leader, PwC, said:</w:t>
      </w:r>
    </w:p>
    <w:p w:rsidR="009205D5" w:rsidRPr="009205D5" w:rsidRDefault="009205D5" w:rsidP="009205D5">
      <w:pPr>
        <w:pStyle w:val="BodyText"/>
        <w:snapToGrid w:val="0"/>
        <w:spacing w:after="0" w:line="240" w:lineRule="auto"/>
        <w:rPr>
          <w:rFonts w:eastAsia="SimSun"/>
          <w:color w:val="000000"/>
          <w:szCs w:val="20"/>
        </w:rPr>
      </w:pPr>
    </w:p>
    <w:p w:rsidR="00FB6E44" w:rsidRPr="009205D5" w:rsidRDefault="00FB6E44" w:rsidP="0063219E">
      <w:pPr>
        <w:snapToGrid w:val="0"/>
        <w:spacing w:after="120"/>
        <w:ind w:left="720" w:right="433"/>
      </w:pPr>
      <w:r w:rsidRPr="009F4CF4">
        <w:rPr>
          <w:rFonts w:cs="Helv"/>
          <w:color w:val="000000"/>
        </w:rPr>
        <w:t>“</w:t>
      </w:r>
      <w:r w:rsidR="009F4CF4" w:rsidRPr="009F4CF4">
        <w:rPr>
          <w:rFonts w:cs="Helv"/>
          <w:color w:val="000000"/>
        </w:rPr>
        <w:t>On the demand</w:t>
      </w:r>
      <w:r w:rsidRPr="009F4CF4">
        <w:rPr>
          <w:rFonts w:cs="Helv"/>
          <w:color w:val="000000"/>
        </w:rPr>
        <w:t xml:space="preserve"> side, long</w:t>
      </w:r>
      <w:r w:rsidR="005B0354">
        <w:rPr>
          <w:rFonts w:cs="Helv"/>
          <w:color w:val="000000"/>
        </w:rPr>
        <w:t>-</w:t>
      </w:r>
      <w:r w:rsidRPr="009F4CF4">
        <w:rPr>
          <w:rFonts w:cs="Helv"/>
          <w:color w:val="000000"/>
        </w:rPr>
        <w:t>term fundamentals are still the</w:t>
      </w:r>
      <w:r w:rsidR="009F4CF4" w:rsidRPr="009F4CF4">
        <w:rPr>
          <w:rFonts w:cs="Helv"/>
          <w:color w:val="000000"/>
        </w:rPr>
        <w:t>r</w:t>
      </w:r>
      <w:r w:rsidRPr="009F4CF4">
        <w:rPr>
          <w:rFonts w:cs="Helv"/>
          <w:color w:val="000000"/>
        </w:rPr>
        <w:t>e</w:t>
      </w:r>
      <w:r w:rsidR="009F4CF4" w:rsidRPr="009F4CF4">
        <w:rPr>
          <w:rFonts w:cs="Helv"/>
          <w:color w:val="000000"/>
        </w:rPr>
        <w:t xml:space="preserve"> but regaining investor confidence depends on how the</w:t>
      </w:r>
      <w:r w:rsidR="00EA1785">
        <w:rPr>
          <w:rFonts w:cs="Helv"/>
          <w:color w:val="000000"/>
        </w:rPr>
        <w:t xml:space="preserve"> mining</w:t>
      </w:r>
      <w:r w:rsidR="009F4CF4" w:rsidRPr="009F4CF4">
        <w:rPr>
          <w:rFonts w:cs="Helv"/>
          <w:color w:val="000000"/>
        </w:rPr>
        <w:t xml:space="preserve"> industry responds to its rising costs, increasingly volatile commodity prices and other challenges such as resource nationalism</w:t>
      </w:r>
      <w:r w:rsidR="005B4001">
        <w:rPr>
          <w:rFonts w:cs="Helv"/>
          <w:color w:val="000000"/>
        </w:rPr>
        <w:t xml:space="preserve"> and that new CEOs can deliver on promises.</w:t>
      </w:r>
      <w:r w:rsidRPr="009F4CF4">
        <w:rPr>
          <w:rFonts w:cs="Helv"/>
          <w:color w:val="000000"/>
        </w:rPr>
        <w:t>”</w:t>
      </w:r>
    </w:p>
    <w:p w:rsidR="00BB6BE8" w:rsidRDefault="00BB6BE8" w:rsidP="0063219E">
      <w:pPr>
        <w:snapToGrid w:val="0"/>
        <w:spacing w:after="120"/>
        <w:ind w:right="433"/>
        <w:rPr>
          <w:rFonts w:eastAsia="SimSun"/>
        </w:rPr>
      </w:pPr>
      <w:r>
        <w:rPr>
          <w:rFonts w:eastAsia="SimSun"/>
        </w:rPr>
        <w:t>Despite this drop in confidence,</w:t>
      </w:r>
      <w:r w:rsidR="00B6271A">
        <w:rPr>
          <w:rFonts w:eastAsia="SimSun"/>
        </w:rPr>
        <w:t xml:space="preserve"> it’s not all bad news as</w:t>
      </w:r>
      <w:r>
        <w:rPr>
          <w:rFonts w:eastAsia="SimSun"/>
        </w:rPr>
        <w:t xml:space="preserve"> production </w:t>
      </w:r>
      <w:r w:rsidRPr="009F4CF4">
        <w:rPr>
          <w:rFonts w:eastAsia="SimSun"/>
        </w:rPr>
        <w:t xml:space="preserve">volumes </w:t>
      </w:r>
      <w:r>
        <w:rPr>
          <w:rFonts w:eastAsia="SimSun"/>
        </w:rPr>
        <w:t xml:space="preserve">and </w:t>
      </w:r>
      <w:r w:rsidRPr="009F4CF4">
        <w:rPr>
          <w:rFonts w:eastAsia="SimSun"/>
        </w:rPr>
        <w:t>dividend yields are up</w:t>
      </w:r>
      <w:r>
        <w:rPr>
          <w:rFonts w:eastAsia="SimSun"/>
        </w:rPr>
        <w:t xml:space="preserve"> </w:t>
      </w:r>
      <w:r w:rsidRPr="009F4CF4">
        <w:rPr>
          <w:rFonts w:eastAsia="SimSun"/>
        </w:rPr>
        <w:t>and while prices have fallen, they have not crashed</w:t>
      </w:r>
      <w:r w:rsidR="00B6271A">
        <w:rPr>
          <w:rFonts w:eastAsia="SimSun"/>
        </w:rPr>
        <w:t xml:space="preserve"> </w:t>
      </w:r>
      <w:r w:rsidR="005B0354">
        <w:rPr>
          <w:rFonts w:eastAsia="SimSun"/>
        </w:rPr>
        <w:t>–</w:t>
      </w:r>
      <w:r w:rsidR="00B6271A">
        <w:rPr>
          <w:rFonts w:eastAsia="SimSun"/>
        </w:rPr>
        <w:t xml:space="preserve"> long</w:t>
      </w:r>
      <w:r w:rsidR="005B0354">
        <w:rPr>
          <w:rFonts w:eastAsia="SimSun"/>
        </w:rPr>
        <w:t>-</w:t>
      </w:r>
      <w:r w:rsidR="00B6271A">
        <w:rPr>
          <w:rFonts w:eastAsia="SimSun"/>
        </w:rPr>
        <w:t>term fundamentals are positive.</w:t>
      </w:r>
    </w:p>
    <w:p w:rsidR="00E80799" w:rsidRDefault="00E80799" w:rsidP="0063219E">
      <w:pPr>
        <w:pStyle w:val="BodyText"/>
        <w:snapToGrid w:val="0"/>
        <w:spacing w:after="0" w:line="240" w:lineRule="auto"/>
        <w:ind w:right="433"/>
        <w:rPr>
          <w:rFonts w:eastAsia="SimSun"/>
          <w:color w:val="000000"/>
          <w:szCs w:val="20"/>
        </w:rPr>
      </w:pPr>
      <w:r w:rsidRPr="009F4CF4">
        <w:rPr>
          <w:rFonts w:eastAsia="SimSun"/>
          <w:color w:val="000000"/>
          <w:szCs w:val="20"/>
        </w:rPr>
        <w:t>Tim Goldsmith, global mining leader, PwC, said:</w:t>
      </w:r>
    </w:p>
    <w:p w:rsidR="00E80799" w:rsidRPr="009205D5" w:rsidRDefault="00E80799" w:rsidP="0063219E">
      <w:pPr>
        <w:pStyle w:val="BodyText"/>
        <w:snapToGrid w:val="0"/>
        <w:spacing w:after="0" w:line="240" w:lineRule="auto"/>
        <w:ind w:right="433"/>
        <w:rPr>
          <w:rFonts w:eastAsia="SimSun"/>
          <w:color w:val="000000"/>
          <w:szCs w:val="20"/>
        </w:rPr>
      </w:pPr>
    </w:p>
    <w:p w:rsidR="009F4CF4" w:rsidRPr="00E80799" w:rsidRDefault="00E80799" w:rsidP="0063219E">
      <w:pPr>
        <w:snapToGrid w:val="0"/>
        <w:spacing w:after="120"/>
        <w:ind w:left="720" w:right="433"/>
      </w:pPr>
      <w:r w:rsidRPr="009F4CF4">
        <w:rPr>
          <w:rFonts w:cs="Helv"/>
          <w:color w:val="000000"/>
        </w:rPr>
        <w:t xml:space="preserve"> “</w:t>
      </w:r>
      <w:r>
        <w:rPr>
          <w:rFonts w:eastAsia="SimSun"/>
        </w:rPr>
        <w:t xml:space="preserve">It’s important to recognise that the </w:t>
      </w:r>
      <w:r w:rsidRPr="009F4CF4">
        <w:rPr>
          <w:rFonts w:eastAsia="SimSun"/>
        </w:rPr>
        <w:t>industry’s</w:t>
      </w:r>
      <w:r w:rsidR="009F4CF4" w:rsidRPr="009F4CF4">
        <w:rPr>
          <w:rFonts w:eastAsia="SimSun"/>
        </w:rPr>
        <w:t xml:space="preserve"> emphasis</w:t>
      </w:r>
      <w:r w:rsidR="005B4001">
        <w:rPr>
          <w:rFonts w:eastAsia="SimSun"/>
        </w:rPr>
        <w:t xml:space="preserve"> </w:t>
      </w:r>
      <w:r w:rsidR="009F4CF4" w:rsidRPr="009F4CF4">
        <w:rPr>
          <w:rFonts w:eastAsia="SimSun"/>
        </w:rPr>
        <w:t>continues to shi</w:t>
      </w:r>
      <w:r w:rsidR="005B4001">
        <w:rPr>
          <w:rFonts w:eastAsia="SimSun"/>
        </w:rPr>
        <w:t>ft</w:t>
      </w:r>
      <w:r w:rsidR="00491929">
        <w:rPr>
          <w:rFonts w:eastAsia="SimSun"/>
        </w:rPr>
        <w:t>.</w:t>
      </w:r>
      <w:r w:rsidR="005B4001">
        <w:rPr>
          <w:rFonts w:eastAsia="SimSun"/>
        </w:rPr>
        <w:t xml:space="preserve"> </w:t>
      </w:r>
      <w:r w:rsidR="00491929">
        <w:rPr>
          <w:rFonts w:eastAsia="SimSun"/>
        </w:rPr>
        <w:t>For the first time ever, h</w:t>
      </w:r>
      <w:r w:rsidR="009F4CF4" w:rsidRPr="009F4CF4">
        <w:rPr>
          <w:rFonts w:eastAsia="SimSun"/>
        </w:rPr>
        <w:t xml:space="preserve">alf of the top 40 miners </w:t>
      </w:r>
      <w:r w:rsidR="00491929">
        <w:rPr>
          <w:rFonts w:eastAsia="SimSun"/>
        </w:rPr>
        <w:t>are from non traditional markets.</w:t>
      </w:r>
      <w:r w:rsidR="00E30DE9">
        <w:rPr>
          <w:rFonts w:eastAsia="SimSun"/>
        </w:rPr>
        <w:t xml:space="preserve"> </w:t>
      </w:r>
      <w:r w:rsidR="009205D5">
        <w:rPr>
          <w:rFonts w:eastAsia="SimSun"/>
        </w:rPr>
        <w:t>China continues to be the industry’s most important custom</w:t>
      </w:r>
      <w:r w:rsidR="005B4001">
        <w:rPr>
          <w:rFonts w:eastAsia="SimSun"/>
        </w:rPr>
        <w:t>er</w:t>
      </w:r>
      <w:r>
        <w:rPr>
          <w:rFonts w:eastAsia="SimSun"/>
        </w:rPr>
        <w:t xml:space="preserve">. While Chinese growth rates are slowing, they are coming from a bigger base, so future demand for commodities still looks healthy.” </w:t>
      </w:r>
    </w:p>
    <w:p w:rsidR="00E80799" w:rsidRDefault="00E80799" w:rsidP="00616CBA">
      <w:pPr>
        <w:snapToGrid w:val="0"/>
        <w:spacing w:after="120"/>
        <w:rPr>
          <w:rFonts w:cstheme="minorHAnsi"/>
        </w:rPr>
      </w:pPr>
    </w:p>
    <w:p w:rsidR="00A62DEA" w:rsidRDefault="00A62DEA" w:rsidP="00616CBA">
      <w:pPr>
        <w:snapToGrid w:val="0"/>
        <w:spacing w:after="120"/>
        <w:rPr>
          <w:rFonts w:eastAsia="SimSun"/>
        </w:rPr>
      </w:pPr>
      <w:r>
        <w:rPr>
          <w:rFonts w:cstheme="minorHAnsi"/>
        </w:rPr>
        <w:lastRenderedPageBreak/>
        <w:t xml:space="preserve">To help restore confidence, shareholders </w:t>
      </w:r>
      <w:r w:rsidR="00712A37">
        <w:rPr>
          <w:rFonts w:cstheme="minorHAnsi"/>
        </w:rPr>
        <w:t>have</w:t>
      </w:r>
      <w:r>
        <w:rPr>
          <w:rFonts w:cstheme="minorHAnsi"/>
        </w:rPr>
        <w:t xml:space="preserve"> </w:t>
      </w:r>
      <w:r w:rsidR="00EA1785" w:rsidRPr="009F4CF4">
        <w:rPr>
          <w:rFonts w:cstheme="minorHAnsi"/>
        </w:rPr>
        <w:t xml:space="preserve">called for increased capital discipline and higher returns.  Eight of the </w:t>
      </w:r>
      <w:r>
        <w:rPr>
          <w:rFonts w:cstheme="minorHAnsi"/>
        </w:rPr>
        <w:t>t</w:t>
      </w:r>
      <w:r w:rsidR="00EA1785" w:rsidRPr="009F4CF4">
        <w:rPr>
          <w:rFonts w:cstheme="minorHAnsi"/>
        </w:rPr>
        <w:t xml:space="preserve">op 10 have announced that they will maintain or increase current dividend levels.  </w:t>
      </w:r>
    </w:p>
    <w:p w:rsidR="00641A5C" w:rsidRPr="009F4CF4" w:rsidRDefault="00A81106" w:rsidP="00616CBA">
      <w:pPr>
        <w:snapToGrid w:val="0"/>
        <w:spacing w:after="120"/>
        <w:rPr>
          <w:rFonts w:eastAsia="SimSun"/>
        </w:rPr>
      </w:pPr>
      <w:r w:rsidRPr="009F4CF4">
        <w:rPr>
          <w:rFonts w:eastAsia="SimSun"/>
        </w:rPr>
        <w:t xml:space="preserve">Tim Goldsmith, </w:t>
      </w:r>
      <w:r w:rsidR="00641A5C" w:rsidRPr="009F4CF4">
        <w:rPr>
          <w:rFonts w:eastAsia="SimSun"/>
        </w:rPr>
        <w:t>global mining leader</w:t>
      </w:r>
      <w:r w:rsidRPr="009F4CF4">
        <w:rPr>
          <w:rFonts w:eastAsia="SimSun"/>
        </w:rPr>
        <w:t>, PwC, said:</w:t>
      </w:r>
    </w:p>
    <w:p w:rsidR="00EA1785" w:rsidRDefault="00B74469" w:rsidP="0063219E">
      <w:pPr>
        <w:snapToGrid w:val="0"/>
        <w:spacing w:after="120"/>
        <w:ind w:left="720" w:right="433"/>
        <w:rPr>
          <w:rFonts w:eastAsia="SimSun"/>
        </w:rPr>
      </w:pPr>
      <w:r w:rsidRPr="009F4CF4">
        <w:rPr>
          <w:rFonts w:eastAsia="SimSun"/>
        </w:rPr>
        <w:t>“M</w:t>
      </w:r>
      <w:r w:rsidR="00641A5C" w:rsidRPr="009F4CF4">
        <w:rPr>
          <w:rFonts w:eastAsia="SimSun"/>
        </w:rPr>
        <w:t>iners are trying to rebuild the market’s confidence</w:t>
      </w:r>
      <w:r w:rsidR="00EA1785">
        <w:rPr>
          <w:rFonts w:eastAsia="SimSun"/>
        </w:rPr>
        <w:t xml:space="preserve"> - c</w:t>
      </w:r>
      <w:r w:rsidRPr="009F4CF4">
        <w:rPr>
          <w:rFonts w:eastAsia="SimSun"/>
        </w:rPr>
        <w:t>apital expenditures have been scaled back</w:t>
      </w:r>
      <w:r w:rsidR="00EA1785">
        <w:rPr>
          <w:rFonts w:eastAsia="SimSun"/>
        </w:rPr>
        <w:t>, hurdle rates are being increased and n</w:t>
      </w:r>
      <w:r w:rsidRPr="009F4CF4">
        <w:rPr>
          <w:rFonts w:eastAsia="SimSun"/>
        </w:rPr>
        <w:t>on-core</w:t>
      </w:r>
      <w:r w:rsidR="0063219E">
        <w:rPr>
          <w:rFonts w:eastAsia="SimSun"/>
        </w:rPr>
        <w:t xml:space="preserve"> assets are being disposed of.</w:t>
      </w:r>
    </w:p>
    <w:p w:rsidR="00B74469" w:rsidRPr="009F4CF4" w:rsidRDefault="00EA1785" w:rsidP="00B74469">
      <w:pPr>
        <w:snapToGrid w:val="0"/>
        <w:spacing w:after="120"/>
        <w:ind w:left="720"/>
      </w:pPr>
      <w:r>
        <w:rPr>
          <w:rFonts w:eastAsia="SimSun"/>
        </w:rPr>
        <w:t>“A</w:t>
      </w:r>
      <w:r w:rsidR="00B74469" w:rsidRPr="009F4CF4">
        <w:rPr>
          <w:rFonts w:cstheme="minorHAnsi"/>
        </w:rPr>
        <w:t>cross the board, t</w:t>
      </w:r>
      <w:r w:rsidR="0055374F" w:rsidRPr="009F4CF4">
        <w:rPr>
          <w:rFonts w:cs="Helv"/>
          <w:color w:val="000000"/>
        </w:rPr>
        <w:t>here is</w:t>
      </w:r>
      <w:r w:rsidR="00D25116">
        <w:rPr>
          <w:rFonts w:cs="Helv"/>
          <w:color w:val="000000"/>
        </w:rPr>
        <w:t xml:space="preserve"> a shift from the days of maximising value by solely increasing production volumes, to</w:t>
      </w:r>
      <w:r w:rsidR="0055374F" w:rsidRPr="009F4CF4">
        <w:rPr>
          <w:rFonts w:cs="Helv"/>
          <w:color w:val="000000"/>
        </w:rPr>
        <w:t xml:space="preserve"> a renewed focus on maximising returns from existing operations</w:t>
      </w:r>
      <w:r w:rsidR="0055374F" w:rsidRPr="009F4CF4">
        <w:rPr>
          <w:szCs w:val="20"/>
          <w:lang w:val="en-AU"/>
        </w:rPr>
        <w:t xml:space="preserve"> through </w:t>
      </w:r>
      <w:r w:rsidR="0055374F" w:rsidRPr="009F4CF4">
        <w:t>managing productivity and improving efficiencies</w:t>
      </w:r>
      <w:r w:rsidR="005B0354">
        <w:t>, b</w:t>
      </w:r>
      <w:r w:rsidR="00D25116">
        <w:t>oth of which have suffered in recent years</w:t>
      </w:r>
      <w:r w:rsidR="0055374F" w:rsidRPr="009F4CF4">
        <w:t>.</w:t>
      </w:r>
      <w:r w:rsidR="00B74469" w:rsidRPr="009F4CF4">
        <w:t>”</w:t>
      </w:r>
    </w:p>
    <w:p w:rsidR="00C96EF2" w:rsidRPr="009F4CF4" w:rsidRDefault="00C96EF2" w:rsidP="00C96375">
      <w:pPr>
        <w:pStyle w:val="BodyText"/>
        <w:snapToGrid w:val="0"/>
        <w:spacing w:after="0" w:line="240" w:lineRule="auto"/>
        <w:rPr>
          <w:szCs w:val="20"/>
          <w:highlight w:val="yellow"/>
          <w:lang w:val="en-AU"/>
        </w:rPr>
      </w:pPr>
    </w:p>
    <w:p w:rsidR="006F6FE4" w:rsidRPr="009F4CF4" w:rsidRDefault="006F6FE4">
      <w:pPr>
        <w:spacing w:line="240" w:lineRule="auto"/>
        <w:rPr>
          <w:rFonts w:cs="Arial"/>
          <w:b/>
          <w:color w:val="000000"/>
          <w:szCs w:val="20"/>
          <w:lang w:val="en-US"/>
        </w:rPr>
      </w:pPr>
    </w:p>
    <w:p w:rsidR="006F6FE4" w:rsidRPr="009F4CF4" w:rsidRDefault="006F6FE4" w:rsidP="0043139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r w:rsidRPr="009F4CF4">
        <w:rPr>
          <w:b/>
          <w:szCs w:val="20"/>
          <w:lang w:eastAsia="en-GB"/>
        </w:rPr>
        <w:t>Note to Editors</w:t>
      </w:r>
    </w:p>
    <w:p w:rsidR="00431395" w:rsidRPr="0063219E" w:rsidRDefault="00431395" w:rsidP="00431395">
      <w:pPr>
        <w:pStyle w:val="ListNumbered"/>
        <w:numPr>
          <w:ilvl w:val="0"/>
          <w:numId w:val="6"/>
        </w:numPr>
        <w:rPr>
          <w:rFonts w:ascii="Georgia" w:hAnsi="Georgia"/>
        </w:rPr>
      </w:pPr>
      <w:r w:rsidRPr="009F4CF4">
        <w:rPr>
          <w:rFonts w:ascii="Georgia" w:hAnsi="Georgia"/>
        </w:rPr>
        <w:t>A copy of ‘Mine 201</w:t>
      </w:r>
      <w:r w:rsidR="00C00C2E" w:rsidRPr="009F4CF4">
        <w:rPr>
          <w:rFonts w:ascii="Georgia" w:hAnsi="Georgia"/>
        </w:rPr>
        <w:t>3</w:t>
      </w:r>
      <w:r w:rsidRPr="009F4CF4">
        <w:rPr>
          <w:rFonts w:ascii="Georgia" w:hAnsi="Georgia"/>
        </w:rPr>
        <w:t xml:space="preserve">’ can be downloaded at: </w:t>
      </w:r>
      <w:hyperlink r:id="rId9" w:history="1">
        <w:r w:rsidR="0063219E" w:rsidRPr="001A7A03">
          <w:rPr>
            <w:rStyle w:val="Hyperlink"/>
            <w:rFonts w:ascii="Georgia" w:hAnsi="Georgia" w:cs="Helv"/>
            <w:lang w:val="en-US" w:eastAsia="en-GB"/>
          </w:rPr>
          <w:t>http://pwc.com/en_GX/gx/mining/publications/mining/mine-a-confidence-crisis.jhtml</w:t>
        </w:r>
      </w:hyperlink>
    </w:p>
    <w:p w:rsidR="0063219E" w:rsidRPr="0063219E" w:rsidRDefault="0063219E" w:rsidP="00431395">
      <w:pPr>
        <w:pStyle w:val="ListNumbered"/>
        <w:numPr>
          <w:ilvl w:val="0"/>
          <w:numId w:val="6"/>
        </w:numPr>
        <w:rPr>
          <w:rFonts w:ascii="Georgia" w:hAnsi="Georgia"/>
        </w:rPr>
      </w:pPr>
    </w:p>
    <w:p w:rsidR="00431395" w:rsidRPr="009F4CF4" w:rsidRDefault="00431395" w:rsidP="00431395">
      <w:pPr>
        <w:pStyle w:val="ListParagraph"/>
        <w:numPr>
          <w:ilvl w:val="0"/>
          <w:numId w:val="6"/>
        </w:numPr>
        <w:autoSpaceDE w:val="0"/>
        <w:autoSpaceDN w:val="0"/>
        <w:adjustRightInd w:val="0"/>
        <w:spacing w:line="240" w:lineRule="auto"/>
        <w:rPr>
          <w:rFonts w:eastAsia="Times New Roman" w:cs="Arial"/>
          <w:color w:val="000000"/>
          <w:szCs w:val="20"/>
          <w:lang w:eastAsia="en-GB"/>
        </w:rPr>
      </w:pPr>
      <w:r w:rsidRPr="009F4CF4">
        <w:rPr>
          <w:rFonts w:cs="Arial"/>
          <w:i/>
          <w:szCs w:val="20"/>
        </w:rPr>
        <w:t xml:space="preserve">Mine: </w:t>
      </w:r>
      <w:r w:rsidR="00C00C2E" w:rsidRPr="009F4CF4">
        <w:rPr>
          <w:rFonts w:cs="Arial"/>
          <w:i/>
          <w:szCs w:val="20"/>
        </w:rPr>
        <w:t>A confidence crisis</w:t>
      </w:r>
      <w:r w:rsidRPr="009F4CF4">
        <w:rPr>
          <w:rFonts w:cs="Arial"/>
          <w:szCs w:val="20"/>
        </w:rPr>
        <w:t xml:space="preserve"> is an analysis of the 40 largest mining companies by market capitalisation</w:t>
      </w:r>
      <w:r w:rsidR="0063219E">
        <w:rPr>
          <w:rFonts w:cs="Arial"/>
          <w:szCs w:val="20"/>
        </w:rPr>
        <w:br/>
      </w:r>
    </w:p>
    <w:p w:rsidR="00431395" w:rsidRPr="009F4CF4" w:rsidRDefault="00431395" w:rsidP="00431395">
      <w:pPr>
        <w:pStyle w:val="ListParagraph"/>
        <w:numPr>
          <w:ilvl w:val="0"/>
          <w:numId w:val="6"/>
        </w:numPr>
        <w:autoSpaceDE w:val="0"/>
        <w:autoSpaceDN w:val="0"/>
        <w:adjustRightInd w:val="0"/>
        <w:spacing w:line="240" w:lineRule="auto"/>
        <w:rPr>
          <w:rFonts w:eastAsia="Times New Roman" w:cs="Arial"/>
          <w:color w:val="000000"/>
          <w:szCs w:val="20"/>
          <w:lang w:eastAsia="en-GB"/>
        </w:rPr>
      </w:pPr>
      <w:r w:rsidRPr="009F4CF4">
        <w:rPr>
          <w:rFonts w:cs="Arial"/>
          <w:szCs w:val="20"/>
        </w:rPr>
        <w:t>The aggregated results were s</w:t>
      </w:r>
      <w:r w:rsidR="000B363E" w:rsidRPr="009F4CF4">
        <w:rPr>
          <w:rFonts w:cs="Arial"/>
          <w:szCs w:val="20"/>
        </w:rPr>
        <w:t>ourced from the latest publicly</w:t>
      </w:r>
      <w:r w:rsidRPr="009F4CF4">
        <w:rPr>
          <w:rFonts w:cs="Arial"/>
          <w:szCs w:val="20"/>
        </w:rPr>
        <w:t xml:space="preserve"> available information, primarily annual reports</w:t>
      </w:r>
      <w:r w:rsidR="0063219E">
        <w:rPr>
          <w:rFonts w:cs="Arial"/>
          <w:szCs w:val="20"/>
        </w:rPr>
        <w:br/>
      </w:r>
    </w:p>
    <w:p w:rsidR="006F6FE4" w:rsidRPr="00443B7C" w:rsidRDefault="00431395" w:rsidP="00443B7C">
      <w:pPr>
        <w:pStyle w:val="ListParagraph"/>
        <w:numPr>
          <w:ilvl w:val="0"/>
          <w:numId w:val="6"/>
        </w:numPr>
        <w:autoSpaceDE w:val="0"/>
        <w:autoSpaceDN w:val="0"/>
        <w:adjustRightInd w:val="0"/>
        <w:spacing w:line="240" w:lineRule="auto"/>
        <w:rPr>
          <w:rFonts w:eastAsia="Times New Roman" w:cs="Arial"/>
          <w:color w:val="000000"/>
          <w:szCs w:val="20"/>
          <w:lang w:eastAsia="en-GB"/>
        </w:rPr>
      </w:pPr>
      <w:r w:rsidRPr="009F4CF4">
        <w:rPr>
          <w:rFonts w:cs="Arial"/>
          <w:szCs w:val="20"/>
        </w:rPr>
        <w:t>All figures reported are in US dollars</w:t>
      </w:r>
    </w:p>
    <w:p w:rsidR="00443B7C" w:rsidRPr="00443B7C" w:rsidRDefault="00443B7C" w:rsidP="00443B7C">
      <w:pPr>
        <w:pStyle w:val="ListParagraph"/>
        <w:autoSpaceDE w:val="0"/>
        <w:autoSpaceDN w:val="0"/>
        <w:adjustRightInd w:val="0"/>
        <w:spacing w:line="240" w:lineRule="auto"/>
        <w:rPr>
          <w:rFonts w:eastAsia="Times New Roman" w:cs="Arial"/>
          <w:color w:val="000000"/>
          <w:szCs w:val="20"/>
          <w:lang w:eastAsia="en-GB"/>
        </w:rPr>
      </w:pPr>
    </w:p>
    <w:p w:rsidR="004C0FF6" w:rsidRDefault="004C0FF6" w:rsidP="00443B7C">
      <w:pPr>
        <w:autoSpaceDE w:val="0"/>
        <w:autoSpaceDN w:val="0"/>
        <w:adjustRightInd w:val="0"/>
        <w:spacing w:line="240" w:lineRule="auto"/>
        <w:rPr>
          <w:rFonts w:cs="Georgia"/>
          <w:b/>
          <w:bCs/>
          <w:color w:val="000000"/>
          <w:sz w:val="18"/>
          <w:szCs w:val="18"/>
          <w:lang w:eastAsia="en-GB"/>
        </w:rPr>
      </w:pPr>
    </w:p>
    <w:p w:rsidR="00443B7C" w:rsidRDefault="00443B7C" w:rsidP="00443B7C">
      <w:pPr>
        <w:autoSpaceDE w:val="0"/>
        <w:autoSpaceDN w:val="0"/>
        <w:adjustRightInd w:val="0"/>
        <w:spacing w:line="240" w:lineRule="auto"/>
        <w:rPr>
          <w:rFonts w:cs="Georgia"/>
          <w:b/>
          <w:bCs/>
          <w:color w:val="000000"/>
          <w:sz w:val="18"/>
          <w:szCs w:val="18"/>
          <w:lang w:eastAsia="en-GB"/>
        </w:rPr>
      </w:pPr>
      <w:r>
        <w:rPr>
          <w:rFonts w:cs="Georgia"/>
          <w:b/>
          <w:bCs/>
          <w:color w:val="000000"/>
          <w:sz w:val="18"/>
          <w:szCs w:val="18"/>
          <w:lang w:eastAsia="en-GB"/>
        </w:rPr>
        <w:t>About PwC</w:t>
      </w:r>
    </w:p>
    <w:p w:rsidR="006C75F9" w:rsidRDefault="00443B7C" w:rsidP="00443B7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18"/>
          <w:szCs w:val="18"/>
          <w:lang w:eastAsia="en-GB"/>
        </w:rPr>
      </w:pPr>
      <w:r>
        <w:rPr>
          <w:rFonts w:cs="Georgia"/>
          <w:color w:val="000000"/>
          <w:sz w:val="18"/>
          <w:szCs w:val="18"/>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934D3A" w:rsidRDefault="00934D3A" w:rsidP="00443B7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18"/>
          <w:szCs w:val="18"/>
          <w:lang w:eastAsia="en-GB"/>
        </w:rPr>
      </w:pPr>
    </w:p>
    <w:p w:rsidR="00934D3A" w:rsidRPr="00934D3A" w:rsidRDefault="00934D3A" w:rsidP="00934D3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18"/>
          <w:szCs w:val="18"/>
          <w:lang w:eastAsia="en-GB"/>
        </w:rPr>
      </w:pPr>
      <w:r w:rsidRPr="00934D3A">
        <w:rPr>
          <w:rFonts w:cs="Georgia"/>
          <w:color w:val="000000"/>
          <w:sz w:val="18"/>
          <w:szCs w:val="18"/>
          <w:lang w:eastAsia="en-GB"/>
        </w:rPr>
        <w:t>© 2013 PwC. All rights reserved</w:t>
      </w:r>
    </w:p>
    <w:p w:rsidR="00934D3A" w:rsidRPr="00934D3A" w:rsidRDefault="00934D3A" w:rsidP="00934D3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18"/>
          <w:szCs w:val="18"/>
          <w:lang w:eastAsia="en-GB"/>
        </w:rPr>
      </w:pPr>
    </w:p>
    <w:p w:rsidR="00934D3A" w:rsidRPr="00934D3A" w:rsidRDefault="00934D3A" w:rsidP="00934D3A">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18"/>
          <w:szCs w:val="18"/>
          <w:lang w:eastAsia="en-GB"/>
        </w:rPr>
      </w:pPr>
      <w:r w:rsidRPr="00934D3A">
        <w:rPr>
          <w:rFonts w:cs="Georgia"/>
          <w:color w:val="000000"/>
          <w:sz w:val="18"/>
          <w:szCs w:val="18"/>
          <w:lang w:eastAsia="en-GB"/>
        </w:rPr>
        <w:t>PwC refers to the PwC network and/or one or more of its member firms, each of which is a separate legal entity. Please see www.pwc.com/structure for further details.</w:t>
      </w:r>
    </w:p>
    <w:p w:rsidR="00934D3A" w:rsidRDefault="00934D3A" w:rsidP="00443B7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18"/>
          <w:szCs w:val="18"/>
          <w:lang w:eastAsia="en-GB"/>
        </w:rPr>
      </w:pPr>
    </w:p>
    <w:p w:rsidR="006F6FE4" w:rsidRPr="009F4CF4" w:rsidRDefault="006F6FE4">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iCs/>
          <w:color w:val="000000"/>
          <w:szCs w:val="20"/>
          <w:lang w:eastAsia="en-GB"/>
        </w:rPr>
      </w:pPr>
    </w:p>
    <w:sectPr w:rsidR="006F6FE4" w:rsidRPr="009F4CF4" w:rsidSect="00C97B77">
      <w:headerReference w:type="even" r:id="rId10"/>
      <w:headerReference w:type="default" r:id="rId11"/>
      <w:footerReference w:type="even" r:id="rId12"/>
      <w:footerReference w:type="default" r:id="rId13"/>
      <w:headerReference w:type="first" r:id="rId14"/>
      <w:footerReference w:type="first" r:id="rId15"/>
      <w:pgSz w:w="11907" w:h="16839"/>
      <w:pgMar w:top="3137" w:right="850" w:bottom="993"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7B" w:rsidRDefault="00E14D7B">
      <w:pPr>
        <w:spacing w:line="240" w:lineRule="auto"/>
      </w:pPr>
      <w:r>
        <w:separator/>
      </w:r>
    </w:p>
  </w:endnote>
  <w:endnote w:type="continuationSeparator" w:id="0">
    <w:p w:rsidR="00E14D7B" w:rsidRDefault="00E14D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F2" w:rsidRDefault="004C6ABE">
    <w:pPr>
      <w:pStyle w:val="Footer"/>
    </w:pPr>
    <w:fldSimple w:instr=" PAGE  \* MERGEFORMAT ">
      <w:r w:rsidR="003530FC">
        <w:rPr>
          <w:noProof/>
        </w:rPr>
        <w:t>2</w:t>
      </w:r>
    </w:fldSimple>
    <w:r w:rsidR="00C96EF2">
      <w:t xml:space="preserve"> of </w:t>
    </w:r>
    <w:fldSimple w:instr=" NUMPAGES  \* MERGEFORMAT ">
      <w:r w:rsidR="003530F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F2" w:rsidRDefault="004C6ABE">
    <w:pPr>
      <w:pStyle w:val="Footer"/>
    </w:pPr>
    <w:fldSimple w:instr=" PAGE  \* MERGEFORMAT ">
      <w:r w:rsidR="00ED4D69">
        <w:rPr>
          <w:noProof/>
        </w:rPr>
        <w:t>3</w:t>
      </w:r>
    </w:fldSimple>
    <w:r w:rsidR="00C96EF2">
      <w:t xml:space="preserve"> of </w:t>
    </w:r>
    <w:fldSimple w:instr=" NUMPAGES  \* MERGEFORMAT ">
      <w:r w:rsidR="00B4567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F2" w:rsidRDefault="00C96EF2">
    <w:pPr>
      <w:pStyle w:val="Address"/>
    </w:pPr>
    <w:bookmarkStart w:id="0" w:name="FirstPageFooter"/>
    <w:bookmarkEnd w:id="0"/>
    <w:r>
      <w:t xml:space="preserve">PricewaterhouseCoopers LLP, </w:t>
    </w:r>
    <w:smartTag w:uri="urn:schemas-microsoft-com:office:smarttags" w:element="address">
      <w:smartTag w:uri="urn:schemas-microsoft-com:office:smarttags" w:element="Street">
        <w:r>
          <w:t>1 Embankment Place</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place">
        <w:r>
          <w:t>WC2N 6RH</w:t>
        </w:r>
      </w:smartTag>
    </w:smartTag>
  </w:p>
  <w:p w:rsidR="00C96EF2" w:rsidRDefault="00C96EF2">
    <w:pPr>
      <w:pStyle w:val="Address"/>
      <w:rPr>
        <w:lang w:val="de-DE"/>
      </w:rPr>
    </w:pPr>
    <w:r>
      <w:rPr>
        <w:lang w:val="de-DE"/>
      </w:rPr>
      <w:t>T: +44 (0)20 7 583 5000, F: +44 (0)20 7 822 4652, www.pwc.co.uk</w:t>
    </w:r>
  </w:p>
  <w:p w:rsidR="00C96EF2" w:rsidRDefault="00C96EF2">
    <w:pPr>
      <w:pStyle w:val="Foo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7B" w:rsidRDefault="00E14D7B">
      <w:pPr>
        <w:spacing w:line="240" w:lineRule="auto"/>
      </w:pPr>
      <w:r>
        <w:separator/>
      </w:r>
    </w:p>
  </w:footnote>
  <w:footnote w:type="continuationSeparator" w:id="0">
    <w:p w:rsidR="00E14D7B" w:rsidRDefault="00E14D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F2" w:rsidRDefault="00A75A4E">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C96EF2" w:rsidRDefault="00C96E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F2" w:rsidRDefault="00A75A4E">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C96EF2" w:rsidRDefault="00C96E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F2" w:rsidRDefault="00A75A4E">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856BF1"/>
    <w:multiLevelType w:val="hybridMultilevel"/>
    <w:tmpl w:val="75F602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15F4529"/>
    <w:multiLevelType w:val="hybridMultilevel"/>
    <w:tmpl w:val="FF12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0E5455"/>
    <w:multiLevelType w:val="hybridMultilevel"/>
    <w:tmpl w:val="322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B502A"/>
    <w:multiLevelType w:val="hybridMultilevel"/>
    <w:tmpl w:val="255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965D8"/>
    <w:multiLevelType w:val="hybridMultilevel"/>
    <w:tmpl w:val="D3C27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526F4B"/>
    <w:multiLevelType w:val="hybridMultilevel"/>
    <w:tmpl w:val="E4AC393A"/>
    <w:lvl w:ilvl="0" w:tplc="D3DADB3E">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nsid w:val="4026248B"/>
    <w:multiLevelType w:val="hybridMultilevel"/>
    <w:tmpl w:val="232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D71D6"/>
    <w:multiLevelType w:val="hybridMultilevel"/>
    <w:tmpl w:val="FAC87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71E34FB"/>
    <w:multiLevelType w:val="hybridMultilevel"/>
    <w:tmpl w:val="91ECAB3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nsid w:val="68D751B6"/>
    <w:multiLevelType w:val="hybridMultilevel"/>
    <w:tmpl w:val="8F92528E"/>
    <w:lvl w:ilvl="0" w:tplc="E6DC1BFA">
      <w:start w:val="1"/>
      <w:numFmt w:val="decimal"/>
      <w:pStyle w:val="ListNumbered"/>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72182F"/>
    <w:multiLevelType w:val="hybridMultilevel"/>
    <w:tmpl w:val="0C9A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AA02BA"/>
    <w:multiLevelType w:val="hybridMultilevel"/>
    <w:tmpl w:val="9F2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5"/>
  </w:num>
  <w:num w:numId="6">
    <w:abstractNumId w:val="12"/>
  </w:num>
  <w:num w:numId="7">
    <w:abstractNumId w:val="3"/>
  </w:num>
  <w:num w:numId="8">
    <w:abstractNumId w:val="7"/>
  </w:num>
  <w:num w:numId="9">
    <w:abstractNumId w:val="10"/>
  </w:num>
  <w:num w:numId="10">
    <w:abstractNumId w:val="6"/>
  </w:num>
  <w:num w:numId="11">
    <w:abstractNumId w:val="9"/>
  </w:num>
  <w:num w:numId="12">
    <w:abstractNumId w:val="1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20"/>
  <w:hyphenationZone w:val="425"/>
  <w:evenAndOddHeaders/>
  <w:drawingGridHorizontalSpacing w:val="11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4B1270"/>
    <w:rsid w:val="000165F1"/>
    <w:rsid w:val="0002794F"/>
    <w:rsid w:val="00032793"/>
    <w:rsid w:val="00056950"/>
    <w:rsid w:val="00063C72"/>
    <w:rsid w:val="00086B02"/>
    <w:rsid w:val="00091984"/>
    <w:rsid w:val="000B363E"/>
    <w:rsid w:val="000C07EE"/>
    <w:rsid w:val="00135B8D"/>
    <w:rsid w:val="0014076C"/>
    <w:rsid w:val="001511E4"/>
    <w:rsid w:val="00153AF4"/>
    <w:rsid w:val="0016154D"/>
    <w:rsid w:val="00161DDF"/>
    <w:rsid w:val="001B591C"/>
    <w:rsid w:val="00205884"/>
    <w:rsid w:val="00252ACE"/>
    <w:rsid w:val="00265583"/>
    <w:rsid w:val="00275214"/>
    <w:rsid w:val="00336978"/>
    <w:rsid w:val="003512CA"/>
    <w:rsid w:val="003530FC"/>
    <w:rsid w:val="003614BE"/>
    <w:rsid w:val="0037517B"/>
    <w:rsid w:val="003960CC"/>
    <w:rsid w:val="0039730C"/>
    <w:rsid w:val="00397BCC"/>
    <w:rsid w:val="003A53CE"/>
    <w:rsid w:val="003C3D8E"/>
    <w:rsid w:val="003D4A1C"/>
    <w:rsid w:val="00406E37"/>
    <w:rsid w:val="00412273"/>
    <w:rsid w:val="00431395"/>
    <w:rsid w:val="00437FA8"/>
    <w:rsid w:val="00443B7C"/>
    <w:rsid w:val="004548BD"/>
    <w:rsid w:val="00455FE3"/>
    <w:rsid w:val="004650B7"/>
    <w:rsid w:val="00471DA9"/>
    <w:rsid w:val="0048430C"/>
    <w:rsid w:val="004864D8"/>
    <w:rsid w:val="00491929"/>
    <w:rsid w:val="004931FD"/>
    <w:rsid w:val="004B1270"/>
    <w:rsid w:val="004C0FF6"/>
    <w:rsid w:val="004C6ABE"/>
    <w:rsid w:val="004E7E01"/>
    <w:rsid w:val="00523B50"/>
    <w:rsid w:val="00525D34"/>
    <w:rsid w:val="00543C4F"/>
    <w:rsid w:val="0055374F"/>
    <w:rsid w:val="005745C3"/>
    <w:rsid w:val="00585946"/>
    <w:rsid w:val="005A3150"/>
    <w:rsid w:val="005B0354"/>
    <w:rsid w:val="005B4001"/>
    <w:rsid w:val="005D0AE4"/>
    <w:rsid w:val="005E36BD"/>
    <w:rsid w:val="0060105D"/>
    <w:rsid w:val="00611BAC"/>
    <w:rsid w:val="00616CBA"/>
    <w:rsid w:val="00626EBD"/>
    <w:rsid w:val="0063219E"/>
    <w:rsid w:val="00641A5C"/>
    <w:rsid w:val="006C75F9"/>
    <w:rsid w:val="006F6FE4"/>
    <w:rsid w:val="00707D26"/>
    <w:rsid w:val="00712A37"/>
    <w:rsid w:val="00720808"/>
    <w:rsid w:val="007F0104"/>
    <w:rsid w:val="00801941"/>
    <w:rsid w:val="008259E7"/>
    <w:rsid w:val="00852315"/>
    <w:rsid w:val="00861FBC"/>
    <w:rsid w:val="008901CE"/>
    <w:rsid w:val="00907A2A"/>
    <w:rsid w:val="009205D5"/>
    <w:rsid w:val="00934D3A"/>
    <w:rsid w:val="00937BD5"/>
    <w:rsid w:val="00965E64"/>
    <w:rsid w:val="009F4CF4"/>
    <w:rsid w:val="00A235CC"/>
    <w:rsid w:val="00A47235"/>
    <w:rsid w:val="00A62DEA"/>
    <w:rsid w:val="00A75A4E"/>
    <w:rsid w:val="00A81106"/>
    <w:rsid w:val="00AA1960"/>
    <w:rsid w:val="00AD5FBA"/>
    <w:rsid w:val="00AF0582"/>
    <w:rsid w:val="00AF3BEF"/>
    <w:rsid w:val="00AF525C"/>
    <w:rsid w:val="00B16AB0"/>
    <w:rsid w:val="00B4567D"/>
    <w:rsid w:val="00B6271A"/>
    <w:rsid w:val="00B74469"/>
    <w:rsid w:val="00BA5313"/>
    <w:rsid w:val="00BB6BE8"/>
    <w:rsid w:val="00C00C2E"/>
    <w:rsid w:val="00C96375"/>
    <w:rsid w:val="00C96EF2"/>
    <w:rsid w:val="00C97B77"/>
    <w:rsid w:val="00D06835"/>
    <w:rsid w:val="00D25116"/>
    <w:rsid w:val="00D44D21"/>
    <w:rsid w:val="00D659BA"/>
    <w:rsid w:val="00DF36A3"/>
    <w:rsid w:val="00E14D7B"/>
    <w:rsid w:val="00E27901"/>
    <w:rsid w:val="00E30DE9"/>
    <w:rsid w:val="00E47CAA"/>
    <w:rsid w:val="00E51226"/>
    <w:rsid w:val="00E80799"/>
    <w:rsid w:val="00E8470E"/>
    <w:rsid w:val="00E9578B"/>
    <w:rsid w:val="00EA1785"/>
    <w:rsid w:val="00EC3CEA"/>
    <w:rsid w:val="00EC6627"/>
    <w:rsid w:val="00ED4D69"/>
    <w:rsid w:val="00ED6E9C"/>
    <w:rsid w:val="00F25E76"/>
    <w:rsid w:val="00F828AF"/>
    <w:rsid w:val="00FB6E44"/>
    <w:rsid w:val="00FC7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77"/>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rsid w:val="00C97B7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B77"/>
    <w:rPr>
      <w:rFonts w:ascii="Cambria" w:hAnsi="Cambria" w:cs="Times New Roman"/>
      <w:b/>
      <w:bCs/>
      <w:kern w:val="32"/>
      <w:sz w:val="32"/>
      <w:szCs w:val="32"/>
    </w:rPr>
  </w:style>
  <w:style w:type="paragraph" w:styleId="Header">
    <w:name w:val="header"/>
    <w:basedOn w:val="Normal"/>
    <w:link w:val="HeaderChar"/>
    <w:uiPriority w:val="99"/>
    <w:semiHidden/>
    <w:rsid w:val="00C97B77"/>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C97B77"/>
    <w:rPr>
      <w:rFonts w:cs="Times New Roman"/>
    </w:rPr>
  </w:style>
  <w:style w:type="paragraph" w:styleId="Footer">
    <w:name w:val="footer"/>
    <w:basedOn w:val="Normal"/>
    <w:link w:val="FooterChar"/>
    <w:uiPriority w:val="99"/>
    <w:semiHidden/>
    <w:rsid w:val="00C97B77"/>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C97B77"/>
    <w:rPr>
      <w:rFonts w:cs="Times New Roman"/>
    </w:rPr>
  </w:style>
  <w:style w:type="paragraph" w:styleId="BodyText">
    <w:name w:val="Body Text"/>
    <w:basedOn w:val="Normal"/>
    <w:link w:val="BodyTextChar"/>
    <w:uiPriority w:val="99"/>
    <w:rsid w:val="00C97B77"/>
    <w:pPr>
      <w:spacing w:after="240"/>
    </w:pPr>
  </w:style>
  <w:style w:type="character" w:customStyle="1" w:styleId="BodyTextChar">
    <w:name w:val="Body Text Char"/>
    <w:basedOn w:val="DefaultParagraphFont"/>
    <w:link w:val="BodyText"/>
    <w:uiPriority w:val="99"/>
    <w:locked/>
    <w:rsid w:val="00C97B77"/>
    <w:rPr>
      <w:rFonts w:ascii="Georgia" w:hAnsi="Georgia" w:cs="Times New Roman"/>
      <w:sz w:val="20"/>
    </w:rPr>
  </w:style>
  <w:style w:type="paragraph" w:styleId="Title">
    <w:name w:val="Title"/>
    <w:basedOn w:val="Normal"/>
    <w:next w:val="Normal"/>
    <w:link w:val="TitleChar"/>
    <w:uiPriority w:val="10"/>
    <w:qFormat/>
    <w:rsid w:val="00C97B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locked/>
    <w:rsid w:val="00C97B77"/>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C97B77"/>
    <w:pPr>
      <w:spacing w:line="200" w:lineRule="atLeast"/>
    </w:pPr>
    <w:rPr>
      <w:i/>
      <w:sz w:val="18"/>
    </w:rPr>
  </w:style>
  <w:style w:type="character" w:customStyle="1" w:styleId="AddressChar">
    <w:name w:val="Address Char"/>
    <w:basedOn w:val="DefaultParagraphFont"/>
    <w:link w:val="Address"/>
    <w:uiPriority w:val="99"/>
    <w:locked/>
    <w:rsid w:val="00C97B77"/>
    <w:rPr>
      <w:rFonts w:ascii="Georgia" w:hAnsi="Georgia" w:cs="Times New Roman"/>
      <w:i/>
      <w:sz w:val="18"/>
    </w:rPr>
  </w:style>
  <w:style w:type="paragraph" w:customStyle="1" w:styleId="Disclaimer">
    <w:name w:val="Disclaimer"/>
    <w:basedOn w:val="Normal"/>
    <w:link w:val="DisclaimerChar"/>
    <w:uiPriority w:val="99"/>
    <w:rsid w:val="00C97B77"/>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C97B77"/>
    <w:rPr>
      <w:rFonts w:ascii="Arial" w:hAnsi="Arial" w:cs="Arial"/>
      <w:sz w:val="12"/>
    </w:rPr>
  </w:style>
  <w:style w:type="paragraph" w:customStyle="1" w:styleId="ReleaseBodyText">
    <w:name w:val="Release Body Text"/>
    <w:uiPriority w:val="99"/>
    <w:rsid w:val="00C97B77"/>
    <w:rPr>
      <w:rFonts w:ascii="Arial" w:eastAsia="Times New Roman" w:hAnsi="Arial" w:cs="Arial"/>
      <w:lang w:eastAsia="en-US"/>
    </w:rPr>
  </w:style>
  <w:style w:type="paragraph" w:customStyle="1" w:styleId="Heading">
    <w:name w:val="Heading"/>
    <w:basedOn w:val="Normal"/>
    <w:uiPriority w:val="99"/>
    <w:rsid w:val="00C97B77"/>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C97B77"/>
    <w:rPr>
      <w:rFonts w:cs="Times New Roman"/>
      <w:sz w:val="16"/>
      <w:szCs w:val="16"/>
    </w:rPr>
  </w:style>
  <w:style w:type="paragraph" w:styleId="CommentText">
    <w:name w:val="annotation text"/>
    <w:basedOn w:val="Normal"/>
    <w:link w:val="CommentTextChar"/>
    <w:uiPriority w:val="99"/>
    <w:semiHidden/>
    <w:rsid w:val="00C97B77"/>
    <w:pPr>
      <w:spacing w:line="240" w:lineRule="auto"/>
    </w:pPr>
    <w:rPr>
      <w:szCs w:val="20"/>
    </w:rPr>
  </w:style>
  <w:style w:type="character" w:customStyle="1" w:styleId="CommentTextChar">
    <w:name w:val="Comment Text Char"/>
    <w:basedOn w:val="DefaultParagraphFont"/>
    <w:link w:val="CommentText"/>
    <w:uiPriority w:val="99"/>
    <w:semiHidden/>
    <w:locked/>
    <w:rsid w:val="00C97B77"/>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C97B77"/>
    <w:rPr>
      <w:b/>
      <w:bCs/>
    </w:rPr>
  </w:style>
  <w:style w:type="character" w:customStyle="1" w:styleId="CommentSubjectChar">
    <w:name w:val="Comment Subject Char"/>
    <w:basedOn w:val="CommentTextChar"/>
    <w:link w:val="CommentSubject"/>
    <w:uiPriority w:val="99"/>
    <w:semiHidden/>
    <w:locked/>
    <w:rsid w:val="00C97B77"/>
    <w:rPr>
      <w:b/>
      <w:bCs/>
    </w:rPr>
  </w:style>
  <w:style w:type="paragraph" w:styleId="BalloonText">
    <w:name w:val="Balloon Text"/>
    <w:basedOn w:val="Normal"/>
    <w:link w:val="BalloonTextChar"/>
    <w:uiPriority w:val="99"/>
    <w:semiHidden/>
    <w:rsid w:val="00C9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B77"/>
    <w:rPr>
      <w:rFonts w:ascii="Tahoma" w:hAnsi="Tahoma" w:cs="Tahoma"/>
      <w:sz w:val="16"/>
      <w:szCs w:val="16"/>
      <w:lang w:eastAsia="en-US"/>
    </w:rPr>
  </w:style>
  <w:style w:type="character" w:styleId="Hyperlink">
    <w:name w:val="Hyperlink"/>
    <w:basedOn w:val="DefaultParagraphFont"/>
    <w:uiPriority w:val="99"/>
    <w:rsid w:val="00C97B77"/>
    <w:rPr>
      <w:rFonts w:cs="Times New Roman"/>
      <w:color w:val="0000FF"/>
      <w:u w:val="single"/>
    </w:rPr>
  </w:style>
  <w:style w:type="paragraph" w:styleId="ListParagraph">
    <w:name w:val="List Paragraph"/>
    <w:basedOn w:val="Normal"/>
    <w:uiPriority w:val="34"/>
    <w:qFormat/>
    <w:rsid w:val="00C97B77"/>
    <w:pPr>
      <w:ind w:left="720"/>
      <w:contextualSpacing/>
    </w:pPr>
  </w:style>
  <w:style w:type="paragraph" w:customStyle="1" w:styleId="Subject">
    <w:name w:val="Subject"/>
    <w:basedOn w:val="Normal"/>
    <w:uiPriority w:val="99"/>
    <w:rsid w:val="00431395"/>
    <w:pPr>
      <w:keepNext/>
      <w:keepLines/>
      <w:spacing w:line="290" w:lineRule="atLeast"/>
    </w:pPr>
    <w:rPr>
      <w:rFonts w:ascii="Times New Roman" w:hAnsi="Times New Roman"/>
      <w:b/>
      <w:sz w:val="24"/>
      <w:szCs w:val="20"/>
    </w:rPr>
  </w:style>
  <w:style w:type="paragraph" w:customStyle="1" w:styleId="ListNumbered">
    <w:name w:val="List Numbered"/>
    <w:basedOn w:val="Normal"/>
    <w:rsid w:val="00431395"/>
    <w:pPr>
      <w:numPr>
        <w:numId w:val="12"/>
      </w:numPr>
      <w:spacing w:line="240" w:lineRule="auto"/>
    </w:pPr>
    <w:rPr>
      <w:rFonts w:ascii="Arial" w:eastAsia="Times New Roman" w:hAnsi="Arial" w:cs="Arial"/>
      <w:szCs w:val="20"/>
    </w:rPr>
  </w:style>
  <w:style w:type="paragraph" w:styleId="Revision">
    <w:name w:val="Revision"/>
    <w:hidden/>
    <w:uiPriority w:val="99"/>
    <w:semiHidden/>
    <w:rsid w:val="00491929"/>
    <w:rPr>
      <w:rFonts w:ascii="Georgia" w:hAnsi="Georgia"/>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carson@uk.pw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wc.com/en_GX/gx/mining/publications/mining/mine-a-confidence-crisis.j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ABC3-B110-49A7-AA41-81B09D62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147</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4234</CharactersWithSpaces>
  <SharedDoc>false</SharedDoc>
  <HLinks>
    <vt:vector size="6" baseType="variant">
      <vt:variant>
        <vt:i4>5636202</vt:i4>
      </vt:variant>
      <vt:variant>
        <vt:i4>0</vt:i4>
      </vt:variant>
      <vt:variant>
        <vt:i4>0</vt:i4>
      </vt:variant>
      <vt:variant>
        <vt:i4>5</vt:i4>
      </vt:variant>
      <vt:variant>
        <vt:lpwstr>mailto:gill.carson@uk.pwc.com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3</cp:revision>
  <cp:lastPrinted>2013-06-04T16:51:00Z</cp:lastPrinted>
  <dcterms:created xsi:type="dcterms:W3CDTF">2013-06-04T16:48:00Z</dcterms:created>
  <dcterms:modified xsi:type="dcterms:W3CDTF">2013-06-04T19:16:00Z</dcterms:modified>
</cp:coreProperties>
</file>