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05" w:rsidRDefault="00DE6C41">
      <w:pPr>
        <w:tabs>
          <w:tab w:val="center" w:pos="4536"/>
        </w:tabs>
      </w:pPr>
      <w:r w:rsidRPr="00DE6C41">
        <w:rPr>
          <w:noProof/>
          <w:lang w:eastAsia="en-GB"/>
        </w:rPr>
        <w:pict>
          <v:shape id="_x0000_s1026" style="position:absolute;margin-left:87.85pt;margin-top:771.05pt;width:465pt;height:11.35pt;z-index:251656192;mso-position-horizontal:absolute;mso-position-horizontal-relative:page;mso-position-vertical:absolute;mso-position-vertical-relative:page" coordsize="9301,228" path="m,228l,,9301,e" filled="f" strokecolor="#dc6900" strokeweight="1pt">
            <v:stroke dashstyle="1 1" endcap="round"/>
            <v:path arrowok="t"/>
            <o:lock v:ext="edit" aspectratio="t"/>
            <w10:wrap anchorx="page" anchory="page"/>
            <w10:anchorlock/>
          </v:shape>
        </w:pict>
      </w:r>
      <w:r w:rsidR="005A3A4F">
        <w:tab/>
      </w:r>
    </w:p>
    <w:p w:rsidR="00882F05" w:rsidRDefault="005A3A4F">
      <w:pPr>
        <w:pStyle w:val="Title"/>
        <w:rPr>
          <w:rFonts w:ascii="Georgia" w:hAnsi="Georgia"/>
        </w:rPr>
      </w:pPr>
      <w:r>
        <w:rPr>
          <w:rFonts w:ascii="Georgia" w:hAnsi="Georgia"/>
        </w:rPr>
        <w:t>News release</w:t>
      </w:r>
    </w:p>
    <w:tbl>
      <w:tblPr>
        <w:tblpPr w:leftFromText="180" w:rightFromText="180" w:vertAnchor="text" w:tblpY="1"/>
        <w:tblOverlap w:val="never"/>
        <w:tblW w:w="0" w:type="auto"/>
        <w:tblLayout w:type="fixed"/>
        <w:tblLook w:val="0000"/>
      </w:tblPr>
      <w:tblGrid>
        <w:gridCol w:w="2268"/>
        <w:gridCol w:w="4645"/>
      </w:tblGrid>
      <w:tr w:rsidR="00882F05">
        <w:tc>
          <w:tcPr>
            <w:tcW w:w="2268" w:type="dxa"/>
          </w:tcPr>
          <w:p w:rsidR="00882F05" w:rsidRDefault="005A3A4F">
            <w:pPr>
              <w:rPr>
                <w:i/>
              </w:rPr>
            </w:pPr>
            <w:r>
              <w:rPr>
                <w:i/>
              </w:rPr>
              <w:t>Date</w:t>
            </w:r>
          </w:p>
        </w:tc>
        <w:tc>
          <w:tcPr>
            <w:tcW w:w="4645" w:type="dxa"/>
          </w:tcPr>
          <w:p w:rsidR="00882F05" w:rsidRDefault="00E22101" w:rsidP="00BD7071">
            <w:r>
              <w:rPr>
                <w:color w:val="000000" w:themeColor="text1"/>
              </w:rPr>
              <w:t xml:space="preserve">Embargoed until </w:t>
            </w:r>
            <w:r w:rsidR="00BD7071">
              <w:rPr>
                <w:color w:val="000000" w:themeColor="text1"/>
              </w:rPr>
              <w:t xml:space="preserve">26 </w:t>
            </w:r>
            <w:r w:rsidR="0001692F">
              <w:rPr>
                <w:color w:val="000000" w:themeColor="text1"/>
              </w:rPr>
              <w:t xml:space="preserve">March </w:t>
            </w:r>
            <w:r w:rsidR="005A3A4F">
              <w:rPr>
                <w:color w:val="000000" w:themeColor="text1"/>
              </w:rPr>
              <w:t>201</w:t>
            </w:r>
            <w:r w:rsidR="00EF38C5">
              <w:rPr>
                <w:color w:val="000000" w:themeColor="text1"/>
              </w:rPr>
              <w:t>3</w:t>
            </w:r>
          </w:p>
        </w:tc>
      </w:tr>
      <w:tr w:rsidR="00882F05" w:rsidRPr="002A7852">
        <w:tc>
          <w:tcPr>
            <w:tcW w:w="2268" w:type="dxa"/>
          </w:tcPr>
          <w:p w:rsidR="00882F05" w:rsidRDefault="00882F05">
            <w:pPr>
              <w:rPr>
                <w:i/>
              </w:rPr>
            </w:pPr>
          </w:p>
          <w:p w:rsidR="00882F05" w:rsidRDefault="005A3A4F">
            <w:pPr>
              <w:rPr>
                <w:i/>
              </w:rPr>
            </w:pPr>
            <w:r>
              <w:rPr>
                <w:i/>
              </w:rPr>
              <w:t>Contact</w:t>
            </w:r>
          </w:p>
        </w:tc>
        <w:tc>
          <w:tcPr>
            <w:tcW w:w="4645" w:type="dxa"/>
          </w:tcPr>
          <w:p w:rsidR="00882F05" w:rsidRDefault="00882F05">
            <w:pPr>
              <w:tabs>
                <w:tab w:val="left" w:pos="1440"/>
              </w:tabs>
              <w:ind w:left="1440" w:hanging="1440"/>
              <w:rPr>
                <w:rFonts w:cs="Arial"/>
                <w:bCs/>
                <w:color w:val="000000"/>
                <w:lang w:val="it-IT"/>
              </w:rPr>
            </w:pPr>
          </w:p>
          <w:p w:rsidR="00882F05" w:rsidRDefault="005A3A4F">
            <w:pPr>
              <w:tabs>
                <w:tab w:val="left" w:pos="1440"/>
              </w:tabs>
              <w:ind w:left="1440" w:hanging="1440"/>
              <w:rPr>
                <w:rFonts w:cs="Arial"/>
                <w:color w:val="000000"/>
                <w:lang w:val="it-IT"/>
              </w:rPr>
            </w:pPr>
            <w:r>
              <w:rPr>
                <w:rFonts w:cs="Arial"/>
                <w:bCs/>
                <w:color w:val="000000"/>
                <w:lang w:val="it-IT"/>
              </w:rPr>
              <w:t>Gill Carson, Media Relations, PwC</w:t>
            </w:r>
          </w:p>
          <w:p w:rsidR="00882F05" w:rsidRDefault="005A3A4F">
            <w:pPr>
              <w:tabs>
                <w:tab w:val="left" w:pos="1440"/>
              </w:tabs>
              <w:ind w:left="1440" w:hanging="1440"/>
              <w:rPr>
                <w:rFonts w:cs="Arial"/>
                <w:color w:val="000000"/>
                <w:lang w:val="it-IT"/>
              </w:rPr>
            </w:pPr>
            <w:r>
              <w:rPr>
                <w:rFonts w:cs="Arial"/>
                <w:color w:val="000000"/>
                <w:lang w:val="it-IT"/>
              </w:rPr>
              <w:t xml:space="preserve">Tel: 020 7212 1391 </w:t>
            </w:r>
          </w:p>
          <w:p w:rsidR="00882F05" w:rsidRDefault="005A3A4F">
            <w:pPr>
              <w:tabs>
                <w:tab w:val="left" w:pos="1440"/>
              </w:tabs>
              <w:ind w:left="1440" w:hanging="1440"/>
              <w:rPr>
                <w:rFonts w:cs="Arial"/>
                <w:color w:val="000000"/>
                <w:lang w:val="it-IT"/>
              </w:rPr>
            </w:pPr>
            <w:r>
              <w:rPr>
                <w:rFonts w:cs="Arial"/>
                <w:color w:val="000000"/>
                <w:lang w:val="it-IT"/>
              </w:rPr>
              <w:t xml:space="preserve">e-mail: </w:t>
            </w:r>
            <w:hyperlink r:id="rId8" w:history="1">
              <w:r>
                <w:rPr>
                  <w:rStyle w:val="Hyperlink"/>
                  <w:rFonts w:cs="Arial"/>
                  <w:lang w:val="it-IT"/>
                </w:rPr>
                <w:t>gill.carson@uk.pwc.com</w:t>
              </w:r>
            </w:hyperlink>
          </w:p>
          <w:p w:rsidR="00882F05" w:rsidRDefault="00882F05">
            <w:pPr>
              <w:pStyle w:val="Header"/>
              <w:tabs>
                <w:tab w:val="left" w:pos="1440"/>
              </w:tabs>
              <w:ind w:left="1440" w:hanging="1440"/>
              <w:rPr>
                <w:lang w:val="de-DE"/>
              </w:rPr>
            </w:pPr>
          </w:p>
        </w:tc>
      </w:tr>
      <w:tr w:rsidR="00882F05">
        <w:tc>
          <w:tcPr>
            <w:tcW w:w="2268" w:type="dxa"/>
          </w:tcPr>
          <w:p w:rsidR="00882F05" w:rsidRDefault="005A3A4F">
            <w:pPr>
              <w:rPr>
                <w:i/>
              </w:rPr>
            </w:pPr>
            <w:r>
              <w:rPr>
                <w:i/>
              </w:rPr>
              <w:t xml:space="preserve">Pages </w:t>
            </w:r>
          </w:p>
        </w:tc>
        <w:tc>
          <w:tcPr>
            <w:tcW w:w="4645" w:type="dxa"/>
          </w:tcPr>
          <w:p w:rsidR="00882F05" w:rsidRDefault="00523D97">
            <w:r>
              <w:t>2</w:t>
            </w:r>
          </w:p>
        </w:tc>
      </w:tr>
    </w:tbl>
    <w:p w:rsidR="00882F05" w:rsidRDefault="005A3A4F">
      <w:pPr>
        <w:jc w:val="center"/>
        <w:rPr>
          <w:rFonts w:cs="Arial"/>
          <w:b/>
          <w:i/>
          <w:iCs/>
        </w:rPr>
      </w:pPr>
      <w:r>
        <w:rPr>
          <w:rFonts w:cs="Arial"/>
          <w:b/>
          <w:i/>
          <w:iCs/>
        </w:rPr>
        <w:br w:type="textWrapping" w:clear="all"/>
      </w:r>
    </w:p>
    <w:p w:rsidR="00882F05" w:rsidRDefault="00DE6C41">
      <w:pPr>
        <w:pStyle w:val="Heading"/>
        <w:jc w:val="center"/>
        <w:rPr>
          <w:rFonts w:ascii="Georgia" w:hAnsi="Georgia"/>
          <w:sz w:val="20"/>
        </w:rPr>
      </w:pPr>
      <w:r w:rsidRPr="00DE6C41">
        <w:rPr>
          <w:noProof/>
          <w:lang w:eastAsia="en-GB"/>
        </w:rPr>
        <w:pict>
          <v:line id="_x0000_s1027" style="position:absolute;left:0;text-align:left;z-index:251657216;mso-position-horizontal-relative:page;mso-position-vertical-relative:page" from="94.05pt,294.25pt" to="549.1pt,294.25pt" strokecolor="#e36c0a">
            <w10:wrap anchorx="page" anchory="page"/>
          </v:line>
        </w:pict>
      </w:r>
    </w:p>
    <w:p w:rsidR="00882F05" w:rsidRDefault="00882F05">
      <w:pPr>
        <w:jc w:val="center"/>
        <w:rPr>
          <w:rFonts w:cs="Helv"/>
          <w:b/>
          <w:color w:val="000000"/>
          <w:sz w:val="22"/>
          <w:lang w:eastAsia="en-GB"/>
        </w:rPr>
      </w:pPr>
    </w:p>
    <w:p w:rsidR="00B70558" w:rsidRPr="00B70558" w:rsidRDefault="00B70558" w:rsidP="00B70558">
      <w:pPr>
        <w:pStyle w:val="Heading3"/>
        <w:spacing w:before="20" w:after="20" w:line="240" w:lineRule="auto"/>
        <w:contextualSpacing/>
        <w:rPr>
          <w:rFonts w:ascii="Georgia" w:hAnsi="Georgia"/>
          <w:b w:val="0"/>
          <w:color w:val="auto"/>
          <w:sz w:val="22"/>
          <w:lang w:val="en-CA"/>
        </w:rPr>
      </w:pPr>
      <w:r w:rsidRPr="00B70558">
        <w:rPr>
          <w:rFonts w:ascii="Georgia" w:hAnsi="Georgia"/>
          <w:color w:val="auto"/>
          <w:sz w:val="22"/>
          <w:lang w:val="en-CA"/>
        </w:rPr>
        <w:t xml:space="preserve">Cautiously optimistic – </w:t>
      </w:r>
      <w:r w:rsidR="007C4AAF">
        <w:rPr>
          <w:rFonts w:ascii="Georgia" w:hAnsi="Georgia"/>
          <w:color w:val="auto"/>
          <w:sz w:val="22"/>
          <w:lang w:val="en-CA"/>
        </w:rPr>
        <w:t xml:space="preserve">a challenging year ahead </w:t>
      </w:r>
      <w:r w:rsidRPr="00B70558">
        <w:rPr>
          <w:rFonts w:ascii="Georgia" w:hAnsi="Georgia"/>
          <w:color w:val="auto"/>
          <w:sz w:val="22"/>
          <w:lang w:val="en-CA"/>
        </w:rPr>
        <w:t>for miners</w:t>
      </w:r>
      <w:r w:rsidR="00AA7186">
        <w:rPr>
          <w:rFonts w:ascii="Georgia" w:hAnsi="Georgia"/>
          <w:color w:val="auto"/>
          <w:sz w:val="22"/>
          <w:lang w:val="en-CA"/>
        </w:rPr>
        <w:t>: PwC report</w:t>
      </w:r>
    </w:p>
    <w:p w:rsidR="00145C6E" w:rsidRPr="0001692F" w:rsidRDefault="00145C6E" w:rsidP="00145C6E">
      <w:pPr>
        <w:pStyle w:val="BodyText"/>
        <w:spacing w:line="240" w:lineRule="auto"/>
        <w:contextualSpacing/>
        <w:rPr>
          <w:lang w:val="en-CA"/>
        </w:rPr>
      </w:pPr>
    </w:p>
    <w:p w:rsidR="00145C6E" w:rsidRDefault="00DE6C41" w:rsidP="00145C6E">
      <w:pPr>
        <w:pStyle w:val="BodyText"/>
        <w:spacing w:line="240" w:lineRule="auto"/>
        <w:contextualSpacing/>
        <w:rPr>
          <w:lang w:val="en-CA"/>
        </w:rPr>
      </w:pPr>
      <w:r w:rsidRPr="00DE6C41">
        <w:rPr>
          <w:bCs/>
          <w:noProof/>
          <w:lang w:val="en-US"/>
        </w:rPr>
        <w:pict>
          <v:line id="Line 2" o:spid="_x0000_s1030" style="position:absolute;z-index:251658240;visibility:visible" from="75pt,2.65pt" to="291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" o:allowincell="f" stroked="f"/>
        </w:pict>
      </w:r>
      <w:r w:rsidRPr="00DE6C41">
        <w:rPr>
          <w:bCs/>
          <w:noProof/>
          <w:lang w:val="en-US"/>
        </w:rPr>
        <w:pict>
          <v:line id="Line 3" o:spid="_x0000_s1031" style="position:absolute;z-index:251659264;visibility:visible" from="1.35pt,1.05pt" to="505.3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" o:allowincell="f" stroked="f"/>
        </w:pict>
      </w:r>
      <w:r w:rsidR="00145C6E" w:rsidRPr="0001692F">
        <w:rPr>
          <w:lang w:val="en-CA"/>
        </w:rPr>
        <w:t xml:space="preserve">After a slow and cautious 2012, mining M&amp;A activity is expected to continue at a moderate and </w:t>
      </w:r>
      <w:r w:rsidR="000C2D80">
        <w:rPr>
          <w:lang w:val="en-CA"/>
        </w:rPr>
        <w:t xml:space="preserve">equally </w:t>
      </w:r>
      <w:r w:rsidR="00145C6E" w:rsidRPr="0001692F">
        <w:rPr>
          <w:lang w:val="en-CA"/>
        </w:rPr>
        <w:t>cautious pace in</w:t>
      </w:r>
      <w:r w:rsidR="000C2D80">
        <w:rPr>
          <w:lang w:val="en-CA"/>
        </w:rPr>
        <w:t xml:space="preserve"> 2013 as metal prices stabilis</w:t>
      </w:r>
      <w:r w:rsidR="00145C6E" w:rsidRPr="0001692F">
        <w:rPr>
          <w:lang w:val="en-CA"/>
        </w:rPr>
        <w:t xml:space="preserve">e and companies bet on a continued rise in commodity demand from countries such as China, according to the latest </w:t>
      </w:r>
      <w:hyperlink r:id="rId9" w:history="1">
        <w:r w:rsidR="00145C6E" w:rsidRPr="000C2D80">
          <w:rPr>
            <w:rStyle w:val="Hyperlink"/>
            <w:i/>
            <w:color w:val="auto"/>
            <w:u w:val="none"/>
            <w:lang w:val="en-CA"/>
          </w:rPr>
          <w:t>Mining Deals</w:t>
        </w:r>
      </w:hyperlink>
      <w:r w:rsidR="00145C6E" w:rsidRPr="000C2D80">
        <w:rPr>
          <w:lang w:val="en-CA"/>
        </w:rPr>
        <w:t xml:space="preserve"> r</w:t>
      </w:r>
      <w:r w:rsidR="00145C6E" w:rsidRPr="0001692F">
        <w:rPr>
          <w:lang w:val="en-CA"/>
        </w:rPr>
        <w:t xml:space="preserve">eport by PwC. </w:t>
      </w:r>
    </w:p>
    <w:p w:rsidR="000C2D80" w:rsidRDefault="000C2D80" w:rsidP="00145C6E">
      <w:pPr>
        <w:pStyle w:val="BodyText"/>
        <w:spacing w:line="240" w:lineRule="auto"/>
        <w:contextualSpacing/>
        <w:rPr>
          <w:lang w:val="en-CA"/>
        </w:rPr>
      </w:pPr>
    </w:p>
    <w:p w:rsidR="000C2D80" w:rsidRDefault="000C2D80" w:rsidP="000C2D80">
      <w:pPr>
        <w:pStyle w:val="BodyText"/>
        <w:spacing w:line="240" w:lineRule="auto"/>
        <w:contextualSpacing/>
      </w:pPr>
      <w:r>
        <w:t>It i</w:t>
      </w:r>
      <w:r w:rsidR="00E45469">
        <w:t xml:space="preserve">s also </w:t>
      </w:r>
      <w:r w:rsidR="006B47ED">
        <w:t>expected that</w:t>
      </w:r>
      <w:r w:rsidR="007C4AAF">
        <w:t xml:space="preserve"> this year,</w:t>
      </w:r>
      <w:r w:rsidR="001B1E2C">
        <w:t xml:space="preserve"> mega-mergers will be placed on the shelf while </w:t>
      </w:r>
      <w:r w:rsidR="007C4AAF">
        <w:t xml:space="preserve">mining </w:t>
      </w:r>
      <w:r w:rsidR="001B1E2C">
        <w:t xml:space="preserve">companies seek to prove </w:t>
      </w:r>
      <w:r w:rsidR="00E45469">
        <w:t>that they are being prudent with shareholder d</w:t>
      </w:r>
      <w:r w:rsidR="001B1E2C">
        <w:t xml:space="preserve">ollars and are able to realise positive results on significant acquisitions made in the past few years. </w:t>
      </w:r>
      <w:r w:rsidR="00E45469">
        <w:t xml:space="preserve">  </w:t>
      </w:r>
    </w:p>
    <w:p w:rsidR="00E45469" w:rsidRDefault="00E45469" w:rsidP="000C2D80">
      <w:pPr>
        <w:pStyle w:val="BodyText"/>
        <w:spacing w:line="240" w:lineRule="auto"/>
        <w:contextualSpacing/>
      </w:pPr>
    </w:p>
    <w:p w:rsidR="00971644" w:rsidRDefault="00E66005" w:rsidP="00971644">
      <w:pPr>
        <w:pStyle w:val="BodyText"/>
        <w:spacing w:after="0" w:line="240" w:lineRule="auto"/>
        <w:contextualSpacing/>
      </w:pPr>
      <w:r>
        <w:t>Tim Goldsmith</w:t>
      </w:r>
      <w:r w:rsidR="00971644">
        <w:t xml:space="preserve">, </w:t>
      </w:r>
      <w:r>
        <w:t>global m</w:t>
      </w:r>
      <w:r w:rsidR="00971644">
        <w:t>ining leader, PwC, said:</w:t>
      </w:r>
    </w:p>
    <w:p w:rsidR="00FE5145" w:rsidRDefault="00FE5145" w:rsidP="00FE5145">
      <w:pPr>
        <w:autoSpaceDE w:val="0"/>
        <w:autoSpaceDN w:val="0"/>
        <w:adjustRightInd w:val="0"/>
        <w:spacing w:line="276" w:lineRule="auto"/>
        <w:rPr>
          <w:rFonts w:cs="Georgia"/>
          <w:color w:val="000000"/>
          <w:szCs w:val="20"/>
          <w:lang w:eastAsia="en-GB"/>
        </w:rPr>
      </w:pPr>
    </w:p>
    <w:p w:rsidR="00FE5145" w:rsidRDefault="00E45469" w:rsidP="00FE5145">
      <w:pPr>
        <w:autoSpaceDE w:val="0"/>
        <w:autoSpaceDN w:val="0"/>
        <w:adjustRightInd w:val="0"/>
        <w:spacing w:line="276" w:lineRule="auto"/>
        <w:ind w:left="284"/>
        <w:rPr>
          <w:lang w:val="en-CA"/>
        </w:rPr>
      </w:pPr>
      <w:r w:rsidRPr="0001692F">
        <w:rPr>
          <w:lang w:val="en-CA"/>
        </w:rPr>
        <w:t>“In 2013, expect deal activity to continue at moderate levels, well behind the frenzied pace of 2011</w:t>
      </w:r>
      <w:r>
        <w:rPr>
          <w:lang w:val="en-CA"/>
        </w:rPr>
        <w:t>.</w:t>
      </w:r>
    </w:p>
    <w:p w:rsidR="00FE5145" w:rsidRDefault="00FE5145" w:rsidP="00FE5145">
      <w:pPr>
        <w:autoSpaceDE w:val="0"/>
        <w:autoSpaceDN w:val="0"/>
        <w:adjustRightInd w:val="0"/>
        <w:spacing w:line="276" w:lineRule="auto"/>
        <w:ind w:left="284"/>
        <w:rPr>
          <w:lang w:val="en-CA"/>
        </w:rPr>
      </w:pPr>
    </w:p>
    <w:p w:rsidR="00E45469" w:rsidRPr="00FE5145" w:rsidRDefault="00E45469" w:rsidP="00FE5145">
      <w:pPr>
        <w:autoSpaceDE w:val="0"/>
        <w:autoSpaceDN w:val="0"/>
        <w:adjustRightInd w:val="0"/>
        <w:spacing w:line="276" w:lineRule="auto"/>
        <w:ind w:left="284"/>
        <w:rPr>
          <w:rFonts w:cs="Georgia"/>
          <w:color w:val="000000"/>
          <w:szCs w:val="20"/>
          <w:lang w:eastAsia="en-GB"/>
        </w:rPr>
      </w:pPr>
      <w:r>
        <w:rPr>
          <w:lang w:val="en-CA"/>
        </w:rPr>
        <w:t>“</w:t>
      </w:r>
      <w:r w:rsidRPr="0001692F">
        <w:rPr>
          <w:lang w:val="en-CA"/>
        </w:rPr>
        <w:t>Miners will have their eyes on opportunities, but will consider ris</w:t>
      </w:r>
      <w:r w:rsidR="006B47ED">
        <w:rPr>
          <w:lang w:val="en-CA"/>
        </w:rPr>
        <w:t xml:space="preserve">k factors such as rising costs, </w:t>
      </w:r>
      <w:r w:rsidRPr="0001692F">
        <w:rPr>
          <w:lang w:val="en-CA"/>
        </w:rPr>
        <w:t>resource nationalism and potential political ramifications of buying and selling assets. The appetite for controversy is decreasing as miners are wary of joining the list of highly publici</w:t>
      </w:r>
      <w:r>
        <w:rPr>
          <w:lang w:val="en-CA"/>
        </w:rPr>
        <w:t>s</w:t>
      </w:r>
      <w:r w:rsidRPr="0001692F">
        <w:rPr>
          <w:lang w:val="en-CA"/>
        </w:rPr>
        <w:t xml:space="preserve">ed write-offs from past deals, both friendly and hostile.” </w:t>
      </w:r>
    </w:p>
    <w:p w:rsidR="000C2D80" w:rsidRPr="0001692F" w:rsidRDefault="000C2D80" w:rsidP="000C2D80">
      <w:pPr>
        <w:pStyle w:val="BodyText"/>
        <w:spacing w:line="240" w:lineRule="auto"/>
        <w:contextualSpacing/>
        <w:rPr>
          <w:b/>
        </w:rPr>
      </w:pPr>
    </w:p>
    <w:p w:rsidR="000C2D80" w:rsidRPr="0001692F" w:rsidRDefault="000C2D80" w:rsidP="000C2D80">
      <w:pPr>
        <w:pStyle w:val="BodyText"/>
        <w:spacing w:after="0" w:line="240" w:lineRule="auto"/>
        <w:contextualSpacing/>
      </w:pPr>
      <w:r w:rsidRPr="0001692F">
        <w:t xml:space="preserve">Considerations for the mining industry for the year ahead </w:t>
      </w:r>
      <w:r w:rsidR="00971644">
        <w:t xml:space="preserve">also </w:t>
      </w:r>
      <w:r w:rsidRPr="0001692F">
        <w:t>include:</w:t>
      </w:r>
    </w:p>
    <w:p w:rsidR="000C2D80" w:rsidRPr="0001692F" w:rsidRDefault="000C2D80" w:rsidP="000C2D80">
      <w:pPr>
        <w:pStyle w:val="BodyText"/>
        <w:spacing w:after="0" w:line="240" w:lineRule="auto"/>
        <w:contextualSpacing/>
        <w:rPr>
          <w:i/>
        </w:rPr>
      </w:pPr>
    </w:p>
    <w:p w:rsidR="000C2D80" w:rsidRPr="0001692F" w:rsidRDefault="000C2D80" w:rsidP="009B5DFC">
      <w:pPr>
        <w:pStyle w:val="BodyText"/>
        <w:numPr>
          <w:ilvl w:val="0"/>
          <w:numId w:val="29"/>
        </w:numPr>
        <w:spacing w:after="0" w:line="240" w:lineRule="auto"/>
        <w:contextualSpacing/>
      </w:pPr>
      <w:r w:rsidRPr="0001692F">
        <w:rPr>
          <w:i/>
        </w:rPr>
        <w:t xml:space="preserve">Growing China – </w:t>
      </w:r>
      <w:r w:rsidRPr="0001692F">
        <w:t xml:space="preserve">China will continue to locate resources to meet its rapidly expanding economy, which is driven by its growing middle-class spending more money on consumer goods, as well as continued infrastructure spending. Also, China </w:t>
      </w:r>
      <w:r w:rsidR="0082562C">
        <w:t xml:space="preserve">has increased its foreign investment </w:t>
      </w:r>
      <w:r w:rsidR="005F78A2">
        <w:t>targets, specifically in the</w:t>
      </w:r>
      <w:r w:rsidR="0082562C">
        <w:t xml:space="preserve"> gold and copper space - </w:t>
      </w:r>
      <w:r w:rsidRPr="0001692F">
        <w:t>boding well for future commodity demand.</w:t>
      </w:r>
    </w:p>
    <w:p w:rsidR="000C2D80" w:rsidRPr="0001692F" w:rsidRDefault="000C2D80" w:rsidP="000C2D80">
      <w:pPr>
        <w:pStyle w:val="BodyText"/>
        <w:spacing w:after="0" w:line="240" w:lineRule="auto"/>
        <w:ind w:left="720"/>
        <w:contextualSpacing/>
      </w:pPr>
    </w:p>
    <w:p w:rsidR="00971644" w:rsidRPr="0001692F" w:rsidRDefault="00971644" w:rsidP="00971644">
      <w:pPr>
        <w:pStyle w:val="BodyText"/>
        <w:spacing w:line="240" w:lineRule="auto"/>
        <w:contextualSpacing/>
        <w:rPr>
          <w:lang w:val="en-CA"/>
        </w:rPr>
      </w:pPr>
      <w:r w:rsidRPr="0001692F">
        <w:rPr>
          <w:lang w:val="en-CA"/>
        </w:rPr>
        <w:t>There were 1,803 transactions in 2012 – the lowest level since 2005. Deal volume in 2012 also decreased more than 30% as compared to 2,605 transactions in 2011. The value of mining deals also slipped in 2012, as com</w:t>
      </w:r>
      <w:r w:rsidR="0082562C">
        <w:rPr>
          <w:lang w:val="en-CA"/>
        </w:rPr>
        <w:t>pared t</w:t>
      </w:r>
      <w:r w:rsidR="005F78A2">
        <w:rPr>
          <w:lang w:val="en-CA"/>
        </w:rPr>
        <w:t xml:space="preserve">o 2011, with the </w:t>
      </w:r>
      <w:r w:rsidR="0082562C">
        <w:rPr>
          <w:lang w:val="en-CA"/>
        </w:rPr>
        <w:t>total</w:t>
      </w:r>
      <w:r w:rsidRPr="0001692F">
        <w:rPr>
          <w:lang w:val="en-CA"/>
        </w:rPr>
        <w:t xml:space="preserve"> amounting to $110 billion in 2012 (including the $5</w:t>
      </w:r>
      <w:r w:rsidR="0082562C">
        <w:rPr>
          <w:lang w:val="en-CA"/>
        </w:rPr>
        <w:t xml:space="preserve">4 billion value of the </w:t>
      </w:r>
      <w:proofErr w:type="spellStart"/>
      <w:r w:rsidR="0082562C">
        <w:rPr>
          <w:lang w:val="en-CA"/>
        </w:rPr>
        <w:t>Glencore</w:t>
      </w:r>
      <w:proofErr w:type="spellEnd"/>
      <w:r w:rsidR="0082562C">
        <w:rPr>
          <w:lang w:val="en-CA"/>
        </w:rPr>
        <w:t>-</w:t>
      </w:r>
      <w:r w:rsidRPr="0001692F">
        <w:rPr>
          <w:lang w:val="en-CA"/>
        </w:rPr>
        <w:t>Xstrata merger which was announced last February and has now nearly cleared all regulatory approvals). Without th</w:t>
      </w:r>
      <w:r w:rsidR="0082562C">
        <w:rPr>
          <w:lang w:val="en-CA"/>
        </w:rPr>
        <w:t xml:space="preserve">is merger, </w:t>
      </w:r>
      <w:r w:rsidRPr="0001692F">
        <w:rPr>
          <w:lang w:val="en-CA"/>
        </w:rPr>
        <w:t xml:space="preserve">deal value falls to $56billion – compared to a total deal value of $149 billion in 2011. </w:t>
      </w:r>
    </w:p>
    <w:p w:rsidR="00971644" w:rsidRDefault="00971644" w:rsidP="00E45469">
      <w:pPr>
        <w:pStyle w:val="BodyText"/>
        <w:spacing w:after="0" w:line="240" w:lineRule="auto"/>
        <w:contextualSpacing/>
      </w:pPr>
    </w:p>
    <w:p w:rsidR="0082562C" w:rsidRDefault="005F78A2" w:rsidP="00E45469">
      <w:pPr>
        <w:pStyle w:val="BodyText"/>
        <w:spacing w:after="0" w:line="240" w:lineRule="auto"/>
        <w:contextualSpacing/>
      </w:pPr>
      <w:r>
        <w:t xml:space="preserve">Excluding the </w:t>
      </w:r>
      <w:proofErr w:type="spellStart"/>
      <w:r>
        <w:t>Glencore</w:t>
      </w:r>
      <w:proofErr w:type="spellEnd"/>
      <w:r>
        <w:t xml:space="preserve"> - Xstrata merger, Canadian-based mining companies were the most active on the M&amp;A scene</w:t>
      </w:r>
      <w:r w:rsidR="001B6363">
        <w:t xml:space="preserve"> (29%)</w:t>
      </w:r>
      <w:r>
        <w:t xml:space="preserve">, </w:t>
      </w:r>
      <w:r w:rsidR="001D7CEB">
        <w:t xml:space="preserve">followed </w:t>
      </w:r>
      <w:r>
        <w:t>by the UK</w:t>
      </w:r>
      <w:r w:rsidR="001B6363">
        <w:t xml:space="preserve"> (11%)</w:t>
      </w:r>
      <w:r w:rsidR="001D7CEB">
        <w:t xml:space="preserve">, </w:t>
      </w:r>
      <w:r>
        <w:t>Australia</w:t>
      </w:r>
      <w:r w:rsidR="001D7CEB">
        <w:t xml:space="preserve"> </w:t>
      </w:r>
      <w:r w:rsidR="001B6363">
        <w:t xml:space="preserve">(9%) </w:t>
      </w:r>
      <w:r w:rsidR="001D7CEB">
        <w:t>and China</w:t>
      </w:r>
      <w:r w:rsidR="001B6363">
        <w:t xml:space="preserve"> (9%)</w:t>
      </w:r>
      <w:r w:rsidR="001D7CEB">
        <w:t xml:space="preserve">. </w:t>
      </w:r>
    </w:p>
    <w:p w:rsidR="001D7CEB" w:rsidRDefault="001D7CEB" w:rsidP="00E45469">
      <w:pPr>
        <w:pStyle w:val="BodyText"/>
        <w:spacing w:after="0" w:line="240" w:lineRule="auto"/>
        <w:contextualSpacing/>
      </w:pPr>
    </w:p>
    <w:p w:rsidR="00E52201" w:rsidRDefault="00E52201" w:rsidP="00FE5145">
      <w:pPr>
        <w:pStyle w:val="BodyText"/>
        <w:spacing w:after="0" w:line="240" w:lineRule="auto"/>
        <w:contextualSpacing/>
      </w:pPr>
    </w:p>
    <w:p w:rsidR="00E52201" w:rsidRDefault="00E52201" w:rsidP="00FE5145">
      <w:pPr>
        <w:pStyle w:val="BodyText"/>
        <w:spacing w:after="0" w:line="240" w:lineRule="auto"/>
        <w:contextualSpacing/>
      </w:pPr>
    </w:p>
    <w:p w:rsidR="00E52201" w:rsidRDefault="00E52201" w:rsidP="00FE5145">
      <w:pPr>
        <w:pStyle w:val="BodyText"/>
        <w:spacing w:after="0" w:line="240" w:lineRule="auto"/>
        <w:contextualSpacing/>
      </w:pPr>
    </w:p>
    <w:p w:rsidR="00FE5145" w:rsidRPr="00FE5145" w:rsidRDefault="00E66005" w:rsidP="00FE5145">
      <w:pPr>
        <w:pStyle w:val="BodyText"/>
        <w:spacing w:after="0" w:line="240" w:lineRule="auto"/>
        <w:contextualSpacing/>
      </w:pPr>
      <w:r>
        <w:lastRenderedPageBreak/>
        <w:t xml:space="preserve">Tim Goldsmith, global </w:t>
      </w:r>
      <w:r w:rsidR="00E45469">
        <w:t>mining leader, PwC, said:</w:t>
      </w:r>
      <w:r w:rsidR="00FE5145">
        <w:rPr>
          <w:rFonts w:cs="Georgia"/>
          <w:color w:val="000000"/>
          <w:szCs w:val="20"/>
          <w:lang w:eastAsia="en-GB"/>
        </w:rPr>
        <w:t xml:space="preserve"> </w:t>
      </w:r>
    </w:p>
    <w:p w:rsidR="00FE5145" w:rsidRDefault="00FE5145" w:rsidP="00FE5145">
      <w:pPr>
        <w:autoSpaceDE w:val="0"/>
        <w:autoSpaceDN w:val="0"/>
        <w:adjustRightInd w:val="0"/>
        <w:spacing w:line="276" w:lineRule="auto"/>
        <w:ind w:left="284"/>
        <w:rPr>
          <w:rFonts w:cs="Georgia"/>
          <w:color w:val="000000"/>
          <w:szCs w:val="20"/>
          <w:lang w:eastAsia="en-GB"/>
        </w:rPr>
      </w:pPr>
    </w:p>
    <w:p w:rsidR="00FE5145" w:rsidRDefault="006F72FB" w:rsidP="00FE5145">
      <w:pPr>
        <w:autoSpaceDE w:val="0"/>
        <w:autoSpaceDN w:val="0"/>
        <w:adjustRightInd w:val="0"/>
        <w:spacing w:line="276" w:lineRule="auto"/>
        <w:ind w:left="284"/>
      </w:pPr>
      <w:r>
        <w:t xml:space="preserve">“The deals market was strong </w:t>
      </w:r>
      <w:r w:rsidR="00FE5145">
        <w:t xml:space="preserve">in </w:t>
      </w:r>
      <w:r>
        <w:t xml:space="preserve">early 2012 but the second quarter saw a volume drop </w:t>
      </w:r>
      <w:r w:rsidR="00FE5145">
        <w:t xml:space="preserve">that </w:t>
      </w:r>
      <w:r>
        <w:t>slowly recovered over the rest of the year</w:t>
      </w:r>
      <w:r w:rsidR="00D5099E">
        <w:t>. Given the bargains to be had, the lack of funds available to junior miners and the seniors selling assets, we expect the recovery to continue</w:t>
      </w:r>
      <w:r w:rsidR="001B6363">
        <w:t xml:space="preserve"> gradually</w:t>
      </w:r>
      <w:r w:rsidR="00D5099E">
        <w:t xml:space="preserve"> this year.</w:t>
      </w:r>
    </w:p>
    <w:p w:rsidR="00FE5145" w:rsidRDefault="00FE5145" w:rsidP="00FE5145">
      <w:pPr>
        <w:autoSpaceDE w:val="0"/>
        <w:autoSpaceDN w:val="0"/>
        <w:adjustRightInd w:val="0"/>
        <w:spacing w:line="276" w:lineRule="auto"/>
        <w:ind w:left="284"/>
      </w:pPr>
    </w:p>
    <w:p w:rsidR="00FE5145" w:rsidRDefault="00D5099E" w:rsidP="00FE5145">
      <w:pPr>
        <w:autoSpaceDE w:val="0"/>
        <w:autoSpaceDN w:val="0"/>
        <w:adjustRightInd w:val="0"/>
        <w:spacing w:line="276" w:lineRule="auto"/>
        <w:ind w:left="284"/>
      </w:pPr>
      <w:r>
        <w:t xml:space="preserve">“2013 will be all about asset rationalization and deal activity will be driven mainly by senior miners looking to divest none-core assets and looking to de-risk projects through joint ventures. </w:t>
      </w:r>
    </w:p>
    <w:p w:rsidR="00FE5145" w:rsidRDefault="00FE5145" w:rsidP="00FE5145">
      <w:pPr>
        <w:autoSpaceDE w:val="0"/>
        <w:autoSpaceDN w:val="0"/>
        <w:adjustRightInd w:val="0"/>
        <w:spacing w:line="276" w:lineRule="auto"/>
        <w:ind w:left="284"/>
      </w:pPr>
    </w:p>
    <w:p w:rsidR="00145C6E" w:rsidRPr="00FE5145" w:rsidRDefault="000C2D80" w:rsidP="00FE5145">
      <w:pPr>
        <w:autoSpaceDE w:val="0"/>
        <w:autoSpaceDN w:val="0"/>
        <w:adjustRightInd w:val="0"/>
        <w:spacing w:line="276" w:lineRule="auto"/>
        <w:ind w:left="284"/>
        <w:rPr>
          <w:rFonts w:cs="Georgia"/>
          <w:color w:val="000000"/>
          <w:szCs w:val="20"/>
          <w:lang w:eastAsia="en-GB"/>
        </w:rPr>
      </w:pPr>
      <w:r w:rsidRPr="0001692F">
        <w:t xml:space="preserve">“It’s </w:t>
      </w:r>
      <w:r w:rsidR="005966C5">
        <w:t xml:space="preserve">also </w:t>
      </w:r>
      <w:r w:rsidRPr="0001692F">
        <w:t>shaping</w:t>
      </w:r>
      <w:r w:rsidR="00FE5145">
        <w:t xml:space="preserve"> up</w:t>
      </w:r>
      <w:r w:rsidRPr="0001692F">
        <w:t xml:space="preserve"> to be another interesting year for commod</w:t>
      </w:r>
      <w:r w:rsidR="0082562C">
        <w:t xml:space="preserve">ity markets </w:t>
      </w:r>
      <w:r w:rsidRPr="0001692F">
        <w:t xml:space="preserve">as investors are waiting anxiously to see which companies have the capability to take advantage of the next big opportunity.” </w:t>
      </w:r>
    </w:p>
    <w:p w:rsidR="006F72FB" w:rsidRDefault="006F72FB" w:rsidP="00971644">
      <w:pPr>
        <w:pStyle w:val="BodyText"/>
        <w:spacing w:after="40" w:line="240" w:lineRule="auto"/>
      </w:pPr>
    </w:p>
    <w:p w:rsidR="00145C6E" w:rsidRPr="0001692F" w:rsidRDefault="00145C6E" w:rsidP="00145C6E">
      <w:pPr>
        <w:pStyle w:val="BodyText"/>
        <w:spacing w:line="240" w:lineRule="auto"/>
        <w:contextualSpacing/>
        <w:rPr>
          <w:rFonts w:cs="Arial"/>
          <w:b/>
        </w:rPr>
      </w:pPr>
      <w:r w:rsidRPr="0001692F">
        <w:rPr>
          <w:rFonts w:cs="Arial"/>
          <w:b/>
        </w:rPr>
        <w:t>Gold and copper continue to thrive</w:t>
      </w:r>
    </w:p>
    <w:p w:rsidR="00145C6E" w:rsidRPr="0001692F" w:rsidRDefault="00145C6E" w:rsidP="00145C6E">
      <w:pPr>
        <w:pStyle w:val="BodyText"/>
        <w:spacing w:line="240" w:lineRule="auto"/>
        <w:contextualSpacing/>
        <w:rPr>
          <w:rFonts w:cs="Arial"/>
        </w:rPr>
      </w:pPr>
      <w:r w:rsidRPr="0001692F">
        <w:rPr>
          <w:rFonts w:cs="Arial"/>
        </w:rPr>
        <w:t xml:space="preserve">According to </w:t>
      </w:r>
      <w:r w:rsidR="005F78A2">
        <w:rPr>
          <w:rFonts w:cs="Arial"/>
        </w:rPr>
        <w:t xml:space="preserve">the </w:t>
      </w:r>
      <w:r w:rsidRPr="00E45469">
        <w:rPr>
          <w:rFonts w:cs="Arial"/>
        </w:rPr>
        <w:t>re</w:t>
      </w:r>
      <w:r w:rsidRPr="0001692F">
        <w:rPr>
          <w:rFonts w:cs="Arial"/>
        </w:rPr>
        <w:t xml:space="preserve">port, gold and copper dominated M&amp;A activity in 2012 as miners with cash took advantage of lower valuations to fund future growth. Together, the two metals accounted for half of the top 20 deals last year, even before considering their mix in the diversified metal mergers. </w:t>
      </w:r>
    </w:p>
    <w:p w:rsidR="00145C6E" w:rsidRPr="0001692F" w:rsidRDefault="00145C6E" w:rsidP="00145C6E">
      <w:pPr>
        <w:pStyle w:val="BodyText"/>
        <w:spacing w:line="240" w:lineRule="auto"/>
        <w:contextualSpacing/>
        <w:rPr>
          <w:rFonts w:cs="Arial"/>
        </w:rPr>
      </w:pPr>
    </w:p>
    <w:p w:rsidR="00971644" w:rsidRDefault="00E66005" w:rsidP="00FE5145">
      <w:pPr>
        <w:pStyle w:val="BodyText"/>
        <w:spacing w:after="0" w:line="240" w:lineRule="auto"/>
        <w:contextualSpacing/>
      </w:pPr>
      <w:r>
        <w:t>Tim Goldsmith</w:t>
      </w:r>
      <w:r w:rsidR="00971644">
        <w:t xml:space="preserve">, </w:t>
      </w:r>
      <w:r>
        <w:t>global</w:t>
      </w:r>
      <w:r w:rsidR="00971644">
        <w:t xml:space="preserve"> mining leader, PwC, said:</w:t>
      </w:r>
    </w:p>
    <w:p w:rsidR="00FE5145" w:rsidRPr="00FE5145" w:rsidRDefault="00FE5145" w:rsidP="00FE5145">
      <w:pPr>
        <w:pStyle w:val="BodyText"/>
        <w:spacing w:after="0" w:line="240" w:lineRule="auto"/>
        <w:contextualSpacing/>
      </w:pPr>
    </w:p>
    <w:p w:rsidR="00145C6E" w:rsidRPr="00FE5145" w:rsidRDefault="00FE5145" w:rsidP="00FE5145">
      <w:pPr>
        <w:autoSpaceDE w:val="0"/>
        <w:autoSpaceDN w:val="0"/>
        <w:adjustRightInd w:val="0"/>
        <w:spacing w:line="276" w:lineRule="auto"/>
        <w:ind w:left="284"/>
        <w:rPr>
          <w:rFonts w:cs="Georgia"/>
          <w:color w:val="000000"/>
          <w:szCs w:val="20"/>
          <w:lang w:eastAsia="en-GB"/>
        </w:rPr>
      </w:pPr>
      <w:r w:rsidRPr="0001692F">
        <w:rPr>
          <w:rFonts w:cs="Arial"/>
        </w:rPr>
        <w:t xml:space="preserve"> </w:t>
      </w:r>
      <w:r w:rsidR="00145C6E" w:rsidRPr="0001692F">
        <w:rPr>
          <w:rFonts w:cs="Arial"/>
        </w:rPr>
        <w:t>“Gold and copper are both popular metals for different reasons. Investors are turning to gold as a hedge against inflation and general economic uncertainty</w:t>
      </w:r>
      <w:r>
        <w:rPr>
          <w:rFonts w:cs="Arial"/>
        </w:rPr>
        <w:t>, while</w:t>
      </w:r>
      <w:r w:rsidR="00145C6E" w:rsidRPr="0001692F">
        <w:rPr>
          <w:rFonts w:cs="Arial"/>
        </w:rPr>
        <w:t xml:space="preserve"> copper is considered a bet on the future health of the global economy as the metal is used in everything from plumbing and power to automobiles.”</w:t>
      </w:r>
    </w:p>
    <w:p w:rsidR="00FE5145" w:rsidRDefault="00FE5145" w:rsidP="00145C6E">
      <w:pPr>
        <w:pStyle w:val="BodyText"/>
        <w:spacing w:line="240" w:lineRule="auto"/>
        <w:contextualSpacing/>
        <w:rPr>
          <w:rFonts w:cs="Arial"/>
        </w:rPr>
      </w:pPr>
    </w:p>
    <w:p w:rsidR="00145C6E" w:rsidRPr="0001692F" w:rsidRDefault="00145C6E" w:rsidP="00145C6E">
      <w:pPr>
        <w:pStyle w:val="BodyText"/>
        <w:spacing w:line="240" w:lineRule="auto"/>
        <w:contextualSpacing/>
      </w:pPr>
      <w:r w:rsidRPr="0001692F">
        <w:t>Other commodities of interest include uranium as producers take advantage of prices that have been depressed since the March 2011 Fukushima nuclear facility disaster in Japan.  Iron ore also appeared a few times among the top 20 deals of 2012, particularly among steelmakers looking to boost access to this metal.</w:t>
      </w:r>
    </w:p>
    <w:p w:rsidR="00145C6E" w:rsidRPr="0001692F" w:rsidRDefault="00145C6E" w:rsidP="00145C6E">
      <w:pPr>
        <w:pStyle w:val="BodyText"/>
        <w:spacing w:line="240" w:lineRule="auto"/>
        <w:contextualSpacing/>
      </w:pPr>
    </w:p>
    <w:p w:rsidR="00882F05" w:rsidRDefault="005A3A4F">
      <w:pPr>
        <w:autoSpaceDE w:val="0"/>
        <w:autoSpaceDN w:val="0"/>
        <w:adjustRightInd w:val="0"/>
        <w:spacing w:line="240" w:lineRule="auto"/>
        <w:rPr>
          <w:rFonts w:cs="Georgia"/>
          <w:b/>
          <w:bCs/>
          <w:color w:val="000000"/>
          <w:sz w:val="18"/>
          <w:szCs w:val="18"/>
          <w:lang w:eastAsia="en-GB"/>
        </w:rPr>
      </w:pPr>
      <w:r>
        <w:rPr>
          <w:rFonts w:cs="Georgia"/>
          <w:b/>
          <w:bCs/>
          <w:color w:val="000000"/>
          <w:sz w:val="18"/>
          <w:szCs w:val="18"/>
          <w:lang w:eastAsia="en-GB"/>
        </w:rPr>
        <w:t>About PwC</w:t>
      </w:r>
    </w:p>
    <w:p w:rsidR="002A7852" w:rsidRPr="002A7852" w:rsidRDefault="002A7852" w:rsidP="002A7852">
      <w:pPr>
        <w:rPr>
          <w:rFonts w:cs="Georgia"/>
          <w:color w:val="000000"/>
          <w:sz w:val="18"/>
          <w:szCs w:val="18"/>
          <w:lang w:eastAsia="en-GB"/>
        </w:rPr>
      </w:pPr>
      <w:r w:rsidRPr="002A7852">
        <w:rPr>
          <w:rFonts w:cs="Georgia"/>
          <w:color w:val="000000"/>
          <w:sz w:val="18"/>
          <w:szCs w:val="18"/>
          <w:lang w:eastAsia="en-GB"/>
        </w:rPr>
        <w:t xml:space="preserve">PwC helps organisations and individuals create the value they’re looking for.  We’re a network of firms in 158 countries with more than 180,000 people who are committed to delivering quality in assurance, tax and advisory services.  Tell us what matters to you and find out more by visiting us at www.pwc.com. </w:t>
      </w:r>
    </w:p>
    <w:p w:rsidR="002A7852" w:rsidRPr="002A7852" w:rsidRDefault="002A7852" w:rsidP="002A7852">
      <w:pPr>
        <w:rPr>
          <w:rFonts w:cs="Georgia"/>
          <w:color w:val="000000"/>
          <w:sz w:val="18"/>
          <w:szCs w:val="18"/>
          <w:lang w:eastAsia="en-GB"/>
        </w:rPr>
      </w:pPr>
    </w:p>
    <w:p w:rsidR="002A7852" w:rsidRPr="002A7852" w:rsidRDefault="002A7852" w:rsidP="002A7852">
      <w:pPr>
        <w:rPr>
          <w:rFonts w:cs="Georgia"/>
          <w:color w:val="000000"/>
          <w:sz w:val="18"/>
          <w:szCs w:val="18"/>
          <w:lang w:eastAsia="en-GB"/>
        </w:rPr>
      </w:pPr>
      <w:r w:rsidRPr="002A7852">
        <w:rPr>
          <w:rFonts w:cs="Georgia"/>
          <w:color w:val="000000"/>
          <w:sz w:val="18"/>
          <w:szCs w:val="18"/>
          <w:lang w:eastAsia="en-GB"/>
        </w:rPr>
        <w:t>PwC refers to the PwC network and/or one or more of its member firms, each of which is a separate legal entity. Please see www.pwc.com/structure for further details.</w:t>
      </w:r>
    </w:p>
    <w:p w:rsidR="002A7852" w:rsidRPr="002A7852" w:rsidRDefault="002A7852" w:rsidP="002A7852">
      <w:pPr>
        <w:rPr>
          <w:rFonts w:cs="Georgia"/>
          <w:color w:val="000000"/>
          <w:sz w:val="18"/>
          <w:szCs w:val="18"/>
          <w:lang w:eastAsia="en-GB"/>
        </w:rPr>
      </w:pPr>
    </w:p>
    <w:p w:rsidR="00882F05" w:rsidRDefault="002A7852" w:rsidP="002A7852">
      <w:pPr>
        <w:rPr>
          <w:rFonts w:cs="Georgia"/>
          <w:iCs/>
          <w:color w:val="000000"/>
          <w:szCs w:val="20"/>
          <w:lang w:eastAsia="en-GB"/>
        </w:rPr>
      </w:pPr>
      <w:r w:rsidRPr="002A7852">
        <w:rPr>
          <w:rFonts w:cs="Georgia"/>
          <w:color w:val="000000"/>
          <w:sz w:val="18"/>
          <w:szCs w:val="18"/>
          <w:lang w:eastAsia="en-GB"/>
        </w:rPr>
        <w:t>©2013 PwC. All rights reserved.</w:t>
      </w:r>
    </w:p>
    <w:sectPr w:rsidR="00882F05" w:rsidSect="00882F05">
      <w:headerReference w:type="even" r:id="rId10"/>
      <w:headerReference w:type="default" r:id="rId11"/>
      <w:footerReference w:type="even" r:id="rId12"/>
      <w:footerReference w:type="default" r:id="rId13"/>
      <w:headerReference w:type="first" r:id="rId14"/>
      <w:footerReference w:type="first" r:id="rId15"/>
      <w:pgSz w:w="11907" w:h="16839"/>
      <w:pgMar w:top="3137" w:right="850" w:bottom="993" w:left="1984" w:header="567" w:footer="567"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9C7" w:rsidRDefault="003809C7">
      <w:pPr>
        <w:spacing w:line="240" w:lineRule="auto"/>
      </w:pPr>
      <w:r>
        <w:separator/>
      </w:r>
    </w:p>
  </w:endnote>
  <w:endnote w:type="continuationSeparator" w:id="0">
    <w:p w:rsidR="003809C7" w:rsidRDefault="003809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F05" w:rsidRDefault="00DE6C41">
    <w:pPr>
      <w:pStyle w:val="Footer"/>
    </w:pPr>
    <w:fldSimple w:instr=" PAGE  \* MERGEFORMAT ">
      <w:r w:rsidR="002A7852">
        <w:rPr>
          <w:noProof/>
        </w:rPr>
        <w:t>2</w:t>
      </w:r>
    </w:fldSimple>
    <w:r w:rsidR="005A3A4F">
      <w:t xml:space="preserve"> of </w:t>
    </w:r>
    <w:fldSimple w:instr=" NUMPAGES  \* MERGEFORMAT ">
      <w:r w:rsidR="002A7852">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F05" w:rsidRDefault="00DE6C41">
    <w:pPr>
      <w:pStyle w:val="Footer"/>
    </w:pPr>
    <w:fldSimple w:instr=" PAGE  \* MERGEFORMAT ">
      <w:r w:rsidR="00FE5145">
        <w:rPr>
          <w:noProof/>
        </w:rPr>
        <w:t>3</w:t>
      </w:r>
    </w:fldSimple>
    <w:r w:rsidR="005A3A4F">
      <w:t xml:space="preserve"> of </w:t>
    </w:r>
    <w:fldSimple w:instr=" NUMPAGES  \* MERGEFORMAT ">
      <w:r w:rsidR="00FE5145">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F05" w:rsidRDefault="005A3A4F">
    <w:pPr>
      <w:pStyle w:val="Address"/>
    </w:pPr>
    <w:bookmarkStart w:id="0" w:name="FirstPageFooter"/>
    <w:bookmarkEnd w:id="0"/>
    <w:r>
      <w:t xml:space="preserve">PricewaterhouseCoopers LLP, </w:t>
    </w:r>
    <w:smartTag w:uri="urn:schemas-microsoft-com:office:smarttags" w:element="address">
      <w:smartTag w:uri="urn:schemas-microsoft-com:office:smarttags" w:element="Street">
        <w:r>
          <w:t>1 Embankment Place</w:t>
        </w:r>
      </w:smartTag>
    </w:smartTag>
    <w:r>
      <w:t xml:space="preserve">. </w:t>
    </w:r>
    <w:smartTag w:uri="urn:schemas-microsoft-com:office:smarttags" w:element="place">
      <w:smartTag w:uri="urn:schemas-microsoft-com:office:smarttags" w:element="City">
        <w:r>
          <w:t>London</w:t>
        </w:r>
      </w:smartTag>
      <w:r>
        <w:t xml:space="preserve">, </w:t>
      </w:r>
      <w:smartTag w:uri="urn:schemas-microsoft-com:office:smarttags" w:element="place">
        <w:r>
          <w:t>WC2N 6RH</w:t>
        </w:r>
      </w:smartTag>
    </w:smartTag>
  </w:p>
  <w:p w:rsidR="00882F05" w:rsidRDefault="005A3A4F">
    <w:pPr>
      <w:pStyle w:val="Address"/>
      <w:rPr>
        <w:lang w:val="de-DE"/>
      </w:rPr>
    </w:pPr>
    <w:r>
      <w:rPr>
        <w:lang w:val="de-DE"/>
      </w:rPr>
      <w:t>T: +44 (0)20 7 583 5000, F: +44 (0)20 7 822 4652, www.pwc.co.uk</w:t>
    </w:r>
  </w:p>
  <w:p w:rsidR="00882F05" w:rsidRDefault="00882F05">
    <w:pPr>
      <w:pStyle w:val="Footer"/>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9C7" w:rsidRDefault="003809C7">
      <w:pPr>
        <w:spacing w:line="240" w:lineRule="auto"/>
      </w:pPr>
      <w:r>
        <w:separator/>
      </w:r>
    </w:p>
  </w:footnote>
  <w:footnote w:type="continuationSeparator" w:id="0">
    <w:p w:rsidR="003809C7" w:rsidRDefault="003809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F05" w:rsidRDefault="005A3A4F">
    <w:pPr>
      <w:pStyle w:val="Header"/>
    </w:pPr>
    <w:r>
      <w:rPr>
        <w:noProof/>
        <w:lang w:val="de-CH" w:eastAsia="de-CH"/>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882F05" w:rsidRDefault="00882F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F05" w:rsidRDefault="005A3A4F">
    <w:pPr>
      <w:pStyle w:val="Header"/>
    </w:pPr>
    <w:r>
      <w:rPr>
        <w:noProof/>
        <w:lang w:val="de-CH" w:eastAsia="de-CH"/>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882F05" w:rsidRDefault="00882F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F05" w:rsidRDefault="005A3A4F">
    <w:pPr>
      <w:pStyle w:val="Header"/>
    </w:pPr>
    <w:r>
      <w:rPr>
        <w:noProof/>
        <w:lang w:val="de-CH" w:eastAsia="de-CH"/>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1C624C"/>
    <w:lvl w:ilvl="0">
      <w:numFmt w:val="bullet"/>
      <w:lvlText w:val="*"/>
      <w:lvlJc w:val="left"/>
    </w:lvl>
  </w:abstractNum>
  <w:abstractNum w:abstractNumId="1">
    <w:nsid w:val="00A206F5"/>
    <w:multiLevelType w:val="hybridMultilevel"/>
    <w:tmpl w:val="2CF88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433209"/>
    <w:multiLevelType w:val="hybridMultilevel"/>
    <w:tmpl w:val="6996F730"/>
    <w:lvl w:ilvl="0" w:tplc="3CC4AFDE">
      <w:start w:val="17"/>
      <w:numFmt w:val="bullet"/>
      <w:lvlText w:val="-"/>
      <w:lvlJc w:val="left"/>
      <w:pPr>
        <w:ind w:left="720" w:hanging="360"/>
      </w:pPr>
      <w:rPr>
        <w:rFonts w:ascii="Georgia" w:eastAsia="Calibri"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87449B"/>
    <w:multiLevelType w:val="hybridMultilevel"/>
    <w:tmpl w:val="4746D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417BF6"/>
    <w:multiLevelType w:val="hybridMultilevel"/>
    <w:tmpl w:val="C0702028"/>
    <w:lvl w:ilvl="0" w:tplc="1C8C8372">
      <w:start w:val="1"/>
      <w:numFmt w:val="bullet"/>
      <w:lvlText w:val=""/>
      <w:lvlJc w:val="left"/>
      <w:pPr>
        <w:tabs>
          <w:tab w:val="num" w:pos="720"/>
        </w:tabs>
        <w:ind w:left="720" w:hanging="36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FF971BF"/>
    <w:multiLevelType w:val="hybridMultilevel"/>
    <w:tmpl w:val="01289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BF4602"/>
    <w:multiLevelType w:val="hybridMultilevel"/>
    <w:tmpl w:val="089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CB2806"/>
    <w:multiLevelType w:val="hybridMultilevel"/>
    <w:tmpl w:val="41109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856BF1"/>
    <w:multiLevelType w:val="hybridMultilevel"/>
    <w:tmpl w:val="75F602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15F4529"/>
    <w:multiLevelType w:val="hybridMultilevel"/>
    <w:tmpl w:val="FF12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0E5455"/>
    <w:multiLevelType w:val="hybridMultilevel"/>
    <w:tmpl w:val="3228A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8B502A"/>
    <w:multiLevelType w:val="hybridMultilevel"/>
    <w:tmpl w:val="2556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F965D8"/>
    <w:multiLevelType w:val="hybridMultilevel"/>
    <w:tmpl w:val="D3C27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DB338E6"/>
    <w:multiLevelType w:val="hybridMultilevel"/>
    <w:tmpl w:val="57A4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526F4B"/>
    <w:multiLevelType w:val="hybridMultilevel"/>
    <w:tmpl w:val="E4AC393A"/>
    <w:lvl w:ilvl="0" w:tplc="D3DADB3E">
      <w:start w:val="1"/>
      <w:numFmt w:val="bullet"/>
      <w:lvlText w:val="o"/>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360"/>
        </w:tabs>
        <w:ind w:left="360" w:hanging="360"/>
      </w:pPr>
      <w:rPr>
        <w:rFonts w:ascii="Courier New" w:hAnsi="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5">
    <w:nsid w:val="3FC47CA2"/>
    <w:multiLevelType w:val="hybridMultilevel"/>
    <w:tmpl w:val="4D9C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24777D"/>
    <w:multiLevelType w:val="hybridMultilevel"/>
    <w:tmpl w:val="7192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26248B"/>
    <w:multiLevelType w:val="hybridMultilevel"/>
    <w:tmpl w:val="232A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925E6B"/>
    <w:multiLevelType w:val="hybridMultilevel"/>
    <w:tmpl w:val="D6D8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805008"/>
    <w:multiLevelType w:val="hybridMultilevel"/>
    <w:tmpl w:val="0C0C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DE3E6C"/>
    <w:multiLevelType w:val="hybridMultilevel"/>
    <w:tmpl w:val="05866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4CD71D6"/>
    <w:multiLevelType w:val="hybridMultilevel"/>
    <w:tmpl w:val="FAC875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B0C1B39"/>
    <w:multiLevelType w:val="hybridMultilevel"/>
    <w:tmpl w:val="13924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71E34FB"/>
    <w:multiLevelType w:val="hybridMultilevel"/>
    <w:tmpl w:val="91ECAB3E"/>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nsid w:val="68D751B6"/>
    <w:multiLevelType w:val="hybridMultilevel"/>
    <w:tmpl w:val="8F92528E"/>
    <w:lvl w:ilvl="0" w:tplc="E6DC1BFA">
      <w:start w:val="1"/>
      <w:numFmt w:val="decimal"/>
      <w:pStyle w:val="ListNumbered"/>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472182F"/>
    <w:multiLevelType w:val="hybridMultilevel"/>
    <w:tmpl w:val="0C9AA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7F74CB"/>
    <w:multiLevelType w:val="hybridMultilevel"/>
    <w:tmpl w:val="97B2F01E"/>
    <w:lvl w:ilvl="0" w:tplc="40A2D53A">
      <w:start w:val="1"/>
      <w:numFmt w:val="decimal"/>
      <w:lvlText w:val="%1."/>
      <w:lvlJc w:val="left"/>
      <w:pPr>
        <w:ind w:left="720" w:hanging="360"/>
      </w:pPr>
      <w:rPr>
        <w:rFonts w:hint="default"/>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181EFE"/>
    <w:multiLevelType w:val="hybridMultilevel"/>
    <w:tmpl w:val="929A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AA02BA"/>
    <w:multiLevelType w:val="hybridMultilevel"/>
    <w:tmpl w:val="9F2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7"/>
  </w:num>
  <w:num w:numId="4">
    <w:abstractNumId w:val="10"/>
  </w:num>
  <w:num w:numId="5">
    <w:abstractNumId w:val="11"/>
  </w:num>
  <w:num w:numId="6">
    <w:abstractNumId w:val="25"/>
  </w:num>
  <w:num w:numId="7">
    <w:abstractNumId w:val="9"/>
  </w:num>
  <w:num w:numId="8">
    <w:abstractNumId w:val="14"/>
  </w:num>
  <w:num w:numId="9">
    <w:abstractNumId w:val="23"/>
  </w:num>
  <w:num w:numId="10">
    <w:abstractNumId w:val="12"/>
  </w:num>
  <w:num w:numId="11">
    <w:abstractNumId w:val="21"/>
  </w:num>
  <w:num w:numId="12">
    <w:abstractNumId w:val="24"/>
  </w:num>
  <w:num w:numId="13">
    <w:abstractNumId w:val="8"/>
  </w:num>
  <w:num w:numId="14">
    <w:abstractNumId w:val="28"/>
  </w:num>
  <w:num w:numId="15">
    <w:abstractNumId w:val="22"/>
  </w:num>
  <w:num w:numId="16">
    <w:abstractNumId w:val="27"/>
  </w:num>
  <w:num w:numId="17">
    <w:abstractNumId w:val="16"/>
  </w:num>
  <w:num w:numId="18">
    <w:abstractNumId w:val="26"/>
  </w:num>
  <w:num w:numId="19">
    <w:abstractNumId w:val="2"/>
  </w:num>
  <w:num w:numId="20">
    <w:abstractNumId w:val="15"/>
  </w:num>
  <w:num w:numId="21">
    <w:abstractNumId w:val="19"/>
  </w:num>
  <w:num w:numId="22">
    <w:abstractNumId w:val="0"/>
    <w:lvlOverride w:ilvl="0">
      <w:lvl w:ilvl="0">
        <w:numFmt w:val="bullet"/>
        <w:lvlText w:val=""/>
        <w:legacy w:legacy="1" w:legacySpace="0" w:legacyIndent="0"/>
        <w:lvlJc w:val="left"/>
        <w:rPr>
          <w:rFonts w:ascii="Symbol" w:hAnsi="Symbol" w:hint="default"/>
          <w:sz w:val="22"/>
        </w:rPr>
      </w:lvl>
    </w:lvlOverride>
  </w:num>
  <w:num w:numId="23">
    <w:abstractNumId w:val="20"/>
  </w:num>
  <w:num w:numId="24">
    <w:abstractNumId w:val="7"/>
  </w:num>
  <w:num w:numId="25">
    <w:abstractNumId w:val="6"/>
  </w:num>
  <w:num w:numId="26">
    <w:abstractNumId w:val="13"/>
  </w:num>
  <w:num w:numId="27">
    <w:abstractNumId w:val="3"/>
  </w:num>
  <w:num w:numId="28">
    <w:abstractNumId w:val="18"/>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69634"/>
  </w:hdrShapeDefaults>
  <w:footnotePr>
    <w:footnote w:id="-1"/>
    <w:footnote w:id="0"/>
  </w:footnotePr>
  <w:endnotePr>
    <w:endnote w:id="-1"/>
    <w:endnote w:id="0"/>
  </w:endnotePr>
  <w:compat/>
  <w:rsids>
    <w:rsidRoot w:val="00882F05"/>
    <w:rsid w:val="000111CA"/>
    <w:rsid w:val="0001692F"/>
    <w:rsid w:val="00092AA0"/>
    <w:rsid w:val="000A5933"/>
    <w:rsid w:val="000C2D80"/>
    <w:rsid w:val="000F0C30"/>
    <w:rsid w:val="000F1BB6"/>
    <w:rsid w:val="00114CEA"/>
    <w:rsid w:val="00116B57"/>
    <w:rsid w:val="00136A46"/>
    <w:rsid w:val="00145C6E"/>
    <w:rsid w:val="00153E1D"/>
    <w:rsid w:val="001B1E2C"/>
    <w:rsid w:val="001B6363"/>
    <w:rsid w:val="001D7CEB"/>
    <w:rsid w:val="0024485D"/>
    <w:rsid w:val="00291686"/>
    <w:rsid w:val="002A7852"/>
    <w:rsid w:val="003809C7"/>
    <w:rsid w:val="003A635D"/>
    <w:rsid w:val="003F6F58"/>
    <w:rsid w:val="00413052"/>
    <w:rsid w:val="00436A17"/>
    <w:rsid w:val="00437E38"/>
    <w:rsid w:val="00443F0A"/>
    <w:rsid w:val="004E6D10"/>
    <w:rsid w:val="004F23BF"/>
    <w:rsid w:val="004F7291"/>
    <w:rsid w:val="005165C6"/>
    <w:rsid w:val="00523D97"/>
    <w:rsid w:val="005966C5"/>
    <w:rsid w:val="005A3A4F"/>
    <w:rsid w:val="005D0E65"/>
    <w:rsid w:val="005D3944"/>
    <w:rsid w:val="005F78A2"/>
    <w:rsid w:val="006574B7"/>
    <w:rsid w:val="00677B2C"/>
    <w:rsid w:val="006B47ED"/>
    <w:rsid w:val="006C2513"/>
    <w:rsid w:val="006F72FB"/>
    <w:rsid w:val="007243B0"/>
    <w:rsid w:val="00750856"/>
    <w:rsid w:val="00751EB1"/>
    <w:rsid w:val="007760F9"/>
    <w:rsid w:val="007C4AAF"/>
    <w:rsid w:val="007E10B4"/>
    <w:rsid w:val="00805E46"/>
    <w:rsid w:val="0082562C"/>
    <w:rsid w:val="0088126D"/>
    <w:rsid w:val="00882F05"/>
    <w:rsid w:val="008B5108"/>
    <w:rsid w:val="00971644"/>
    <w:rsid w:val="009B5DFC"/>
    <w:rsid w:val="00A13F05"/>
    <w:rsid w:val="00A30C32"/>
    <w:rsid w:val="00A627E4"/>
    <w:rsid w:val="00A90035"/>
    <w:rsid w:val="00AA7186"/>
    <w:rsid w:val="00B26B79"/>
    <w:rsid w:val="00B42760"/>
    <w:rsid w:val="00B56385"/>
    <w:rsid w:val="00B70558"/>
    <w:rsid w:val="00BC47EB"/>
    <w:rsid w:val="00BD7071"/>
    <w:rsid w:val="00C13979"/>
    <w:rsid w:val="00C179B9"/>
    <w:rsid w:val="00CD700E"/>
    <w:rsid w:val="00D146A3"/>
    <w:rsid w:val="00D5099E"/>
    <w:rsid w:val="00D761B4"/>
    <w:rsid w:val="00D93576"/>
    <w:rsid w:val="00DA0BC7"/>
    <w:rsid w:val="00DA4639"/>
    <w:rsid w:val="00DE6C41"/>
    <w:rsid w:val="00E22101"/>
    <w:rsid w:val="00E42D11"/>
    <w:rsid w:val="00E4472C"/>
    <w:rsid w:val="00E45469"/>
    <w:rsid w:val="00E52201"/>
    <w:rsid w:val="00E66005"/>
    <w:rsid w:val="00E67603"/>
    <w:rsid w:val="00E874AF"/>
    <w:rsid w:val="00EF38C5"/>
    <w:rsid w:val="00F13ACD"/>
    <w:rsid w:val="00F56E4A"/>
    <w:rsid w:val="00F643CD"/>
    <w:rsid w:val="00FB52E6"/>
    <w:rsid w:val="00FE5145"/>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05"/>
    <w:pPr>
      <w:spacing w:line="240" w:lineRule="atLeast"/>
    </w:pPr>
    <w:rPr>
      <w:rFonts w:ascii="Georgia" w:hAnsi="Georgia"/>
      <w:szCs w:val="22"/>
      <w:lang w:eastAsia="en-US"/>
    </w:rPr>
  </w:style>
  <w:style w:type="paragraph" w:styleId="Heading1">
    <w:name w:val="heading 1"/>
    <w:basedOn w:val="Normal"/>
    <w:next w:val="Normal"/>
    <w:link w:val="Heading1Char"/>
    <w:uiPriority w:val="99"/>
    <w:qFormat/>
    <w:rsid w:val="00882F05"/>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semiHidden/>
    <w:unhideWhenUsed/>
    <w:qFormat/>
    <w:locked/>
    <w:rsid w:val="003A63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2F05"/>
    <w:rPr>
      <w:rFonts w:ascii="Cambria" w:hAnsi="Cambria" w:cs="Times New Roman"/>
      <w:b/>
      <w:bCs/>
      <w:kern w:val="32"/>
      <w:sz w:val="32"/>
      <w:szCs w:val="32"/>
    </w:rPr>
  </w:style>
  <w:style w:type="paragraph" w:styleId="Header">
    <w:name w:val="header"/>
    <w:basedOn w:val="Normal"/>
    <w:link w:val="HeaderChar"/>
    <w:uiPriority w:val="99"/>
    <w:semiHidden/>
    <w:rsid w:val="00882F05"/>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882F05"/>
    <w:rPr>
      <w:rFonts w:cs="Times New Roman"/>
    </w:rPr>
  </w:style>
  <w:style w:type="paragraph" w:styleId="Footer">
    <w:name w:val="footer"/>
    <w:basedOn w:val="Normal"/>
    <w:link w:val="FooterChar"/>
    <w:uiPriority w:val="99"/>
    <w:semiHidden/>
    <w:rsid w:val="00882F05"/>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882F05"/>
    <w:rPr>
      <w:rFonts w:cs="Times New Roman"/>
    </w:rPr>
  </w:style>
  <w:style w:type="paragraph" w:styleId="BodyText">
    <w:name w:val="Body Text"/>
    <w:basedOn w:val="Normal"/>
    <w:link w:val="BodyTextChar"/>
    <w:uiPriority w:val="99"/>
    <w:rsid w:val="00882F05"/>
    <w:pPr>
      <w:spacing w:after="240"/>
    </w:pPr>
  </w:style>
  <w:style w:type="character" w:customStyle="1" w:styleId="BodyTextChar">
    <w:name w:val="Body Text Char"/>
    <w:basedOn w:val="DefaultParagraphFont"/>
    <w:link w:val="BodyText"/>
    <w:uiPriority w:val="99"/>
    <w:locked/>
    <w:rsid w:val="00882F05"/>
    <w:rPr>
      <w:rFonts w:ascii="Georgia" w:hAnsi="Georgia" w:cs="Times New Roman"/>
      <w:sz w:val="20"/>
    </w:rPr>
  </w:style>
  <w:style w:type="paragraph" w:styleId="Title">
    <w:name w:val="Title"/>
    <w:basedOn w:val="Normal"/>
    <w:next w:val="Normal"/>
    <w:link w:val="TitleChar"/>
    <w:uiPriority w:val="10"/>
    <w:qFormat/>
    <w:rsid w:val="00882F05"/>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locked/>
    <w:rsid w:val="00882F05"/>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882F05"/>
    <w:pPr>
      <w:spacing w:line="200" w:lineRule="atLeast"/>
    </w:pPr>
    <w:rPr>
      <w:i/>
      <w:sz w:val="18"/>
    </w:rPr>
  </w:style>
  <w:style w:type="character" w:customStyle="1" w:styleId="AddressChar">
    <w:name w:val="Address Char"/>
    <w:basedOn w:val="DefaultParagraphFont"/>
    <w:link w:val="Address"/>
    <w:uiPriority w:val="99"/>
    <w:locked/>
    <w:rsid w:val="00882F05"/>
    <w:rPr>
      <w:rFonts w:ascii="Georgia" w:hAnsi="Georgia" w:cs="Times New Roman"/>
      <w:i/>
      <w:sz w:val="18"/>
    </w:rPr>
  </w:style>
  <w:style w:type="paragraph" w:customStyle="1" w:styleId="Disclaimer">
    <w:name w:val="Disclaimer"/>
    <w:basedOn w:val="Normal"/>
    <w:link w:val="DisclaimerChar"/>
    <w:uiPriority w:val="99"/>
    <w:rsid w:val="00882F05"/>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882F05"/>
    <w:rPr>
      <w:rFonts w:ascii="Arial" w:hAnsi="Arial" w:cs="Arial"/>
      <w:sz w:val="12"/>
    </w:rPr>
  </w:style>
  <w:style w:type="paragraph" w:customStyle="1" w:styleId="ReleaseBodyText">
    <w:name w:val="Release Body Text"/>
    <w:uiPriority w:val="99"/>
    <w:rsid w:val="00882F05"/>
    <w:rPr>
      <w:rFonts w:ascii="Arial" w:eastAsia="Times New Roman" w:hAnsi="Arial" w:cs="Arial"/>
      <w:lang w:eastAsia="en-US"/>
    </w:rPr>
  </w:style>
  <w:style w:type="paragraph" w:customStyle="1" w:styleId="Heading">
    <w:name w:val="Heading"/>
    <w:basedOn w:val="Normal"/>
    <w:uiPriority w:val="99"/>
    <w:rsid w:val="00882F05"/>
    <w:pPr>
      <w:spacing w:line="240" w:lineRule="auto"/>
    </w:pPr>
    <w:rPr>
      <w:rFonts w:ascii="Arial" w:eastAsia="Times New Roman" w:hAnsi="Arial"/>
      <w:b/>
      <w:sz w:val="24"/>
      <w:szCs w:val="20"/>
    </w:rPr>
  </w:style>
  <w:style w:type="character" w:styleId="CommentReference">
    <w:name w:val="annotation reference"/>
    <w:basedOn w:val="DefaultParagraphFont"/>
    <w:uiPriority w:val="99"/>
    <w:semiHidden/>
    <w:rsid w:val="00882F05"/>
    <w:rPr>
      <w:rFonts w:cs="Times New Roman"/>
      <w:sz w:val="16"/>
      <w:szCs w:val="16"/>
    </w:rPr>
  </w:style>
  <w:style w:type="paragraph" w:styleId="CommentText">
    <w:name w:val="annotation text"/>
    <w:basedOn w:val="Normal"/>
    <w:link w:val="CommentTextChar"/>
    <w:uiPriority w:val="99"/>
    <w:semiHidden/>
    <w:rsid w:val="00882F05"/>
    <w:pPr>
      <w:spacing w:line="240" w:lineRule="auto"/>
    </w:pPr>
    <w:rPr>
      <w:szCs w:val="20"/>
    </w:rPr>
  </w:style>
  <w:style w:type="character" w:customStyle="1" w:styleId="CommentTextChar">
    <w:name w:val="Comment Text Char"/>
    <w:basedOn w:val="DefaultParagraphFont"/>
    <w:link w:val="CommentText"/>
    <w:uiPriority w:val="99"/>
    <w:semiHidden/>
    <w:locked/>
    <w:rsid w:val="00882F05"/>
    <w:rPr>
      <w:rFonts w:ascii="Georgia" w:hAnsi="Georgia" w:cs="Times New Roman"/>
      <w:lang w:eastAsia="en-US"/>
    </w:rPr>
  </w:style>
  <w:style w:type="paragraph" w:styleId="CommentSubject">
    <w:name w:val="annotation subject"/>
    <w:basedOn w:val="CommentText"/>
    <w:next w:val="CommentText"/>
    <w:link w:val="CommentSubjectChar"/>
    <w:uiPriority w:val="99"/>
    <w:semiHidden/>
    <w:rsid w:val="00882F05"/>
    <w:rPr>
      <w:b/>
      <w:bCs/>
    </w:rPr>
  </w:style>
  <w:style w:type="character" w:customStyle="1" w:styleId="CommentSubjectChar">
    <w:name w:val="Comment Subject Char"/>
    <w:basedOn w:val="CommentTextChar"/>
    <w:link w:val="CommentSubject"/>
    <w:uiPriority w:val="99"/>
    <w:semiHidden/>
    <w:locked/>
    <w:rsid w:val="00882F05"/>
    <w:rPr>
      <w:b/>
      <w:bCs/>
    </w:rPr>
  </w:style>
  <w:style w:type="paragraph" w:styleId="BalloonText">
    <w:name w:val="Balloon Text"/>
    <w:basedOn w:val="Normal"/>
    <w:link w:val="BalloonTextChar"/>
    <w:uiPriority w:val="99"/>
    <w:semiHidden/>
    <w:rsid w:val="00882F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2F05"/>
    <w:rPr>
      <w:rFonts w:ascii="Tahoma" w:hAnsi="Tahoma" w:cs="Tahoma"/>
      <w:sz w:val="16"/>
      <w:szCs w:val="16"/>
      <w:lang w:eastAsia="en-US"/>
    </w:rPr>
  </w:style>
  <w:style w:type="character" w:styleId="Hyperlink">
    <w:name w:val="Hyperlink"/>
    <w:basedOn w:val="DefaultParagraphFont"/>
    <w:uiPriority w:val="99"/>
    <w:rsid w:val="00882F05"/>
    <w:rPr>
      <w:rFonts w:cs="Times New Roman"/>
      <w:color w:val="0000FF"/>
      <w:u w:val="single"/>
    </w:rPr>
  </w:style>
  <w:style w:type="paragraph" w:styleId="ListParagraph">
    <w:name w:val="List Paragraph"/>
    <w:basedOn w:val="Normal"/>
    <w:uiPriority w:val="99"/>
    <w:qFormat/>
    <w:rsid w:val="00882F05"/>
    <w:pPr>
      <w:ind w:left="720"/>
      <w:contextualSpacing/>
    </w:pPr>
  </w:style>
  <w:style w:type="paragraph" w:customStyle="1" w:styleId="Subject">
    <w:name w:val="Subject"/>
    <w:basedOn w:val="Normal"/>
    <w:uiPriority w:val="99"/>
    <w:rsid w:val="00882F05"/>
    <w:pPr>
      <w:keepNext/>
      <w:keepLines/>
      <w:spacing w:line="290" w:lineRule="atLeast"/>
    </w:pPr>
    <w:rPr>
      <w:rFonts w:ascii="Times New Roman" w:hAnsi="Times New Roman"/>
      <w:b/>
      <w:sz w:val="24"/>
      <w:szCs w:val="20"/>
    </w:rPr>
  </w:style>
  <w:style w:type="paragraph" w:customStyle="1" w:styleId="ListNumbered">
    <w:name w:val="List Numbered"/>
    <w:basedOn w:val="Normal"/>
    <w:rsid w:val="00882F05"/>
    <w:pPr>
      <w:numPr>
        <w:numId w:val="12"/>
      </w:numPr>
      <w:spacing w:line="240" w:lineRule="auto"/>
    </w:pPr>
    <w:rPr>
      <w:rFonts w:ascii="Arial" w:eastAsia="Times New Roman" w:hAnsi="Arial" w:cs="Arial"/>
      <w:szCs w:val="20"/>
    </w:rPr>
  </w:style>
  <w:style w:type="table" w:styleId="LightShading">
    <w:name w:val="Light Shading"/>
    <w:basedOn w:val="TableNormal"/>
    <w:uiPriority w:val="60"/>
    <w:rsid w:val="00882F0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locked/>
    <w:rsid w:val="00882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wCTableText">
    <w:name w:val="PwC Table Text"/>
    <w:basedOn w:val="TableNormal"/>
    <w:uiPriority w:val="99"/>
    <w:qFormat/>
    <w:rsid w:val="00882F05"/>
    <w:pPr>
      <w:spacing w:before="60" w:after="60"/>
    </w:pPr>
    <w:rPr>
      <w:rFonts w:ascii="Georgia" w:eastAsiaTheme="minorHAnsi" w:hAnsi="Georgia" w:cstheme="minorBidi"/>
      <w:lang w:eastAsia="en-US"/>
    </w:rPr>
    <w:tblPr>
      <w:tblStyleRowBandSize w:val="1"/>
      <w:tblInd w:w="0" w:type="dxa"/>
      <w:tblBorders>
        <w:insideH w:val="dotted" w:sz="4" w:space="0" w:color="1F497D" w:themeColor="text2"/>
      </w:tblBorders>
      <w:tblCellMar>
        <w:top w:w="0" w:type="dxa"/>
        <w:left w:w="108" w:type="dxa"/>
        <w:bottom w:w="0" w:type="dxa"/>
        <w:right w:w="108" w:type="dxa"/>
      </w:tblCellMar>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character" w:customStyle="1" w:styleId="Heading3Char">
    <w:name w:val="Heading 3 Char"/>
    <w:basedOn w:val="DefaultParagraphFont"/>
    <w:link w:val="Heading3"/>
    <w:semiHidden/>
    <w:rsid w:val="003A635D"/>
    <w:rPr>
      <w:rFonts w:asciiTheme="majorHAnsi" w:eastAsiaTheme="majorEastAsia" w:hAnsiTheme="majorHAnsi" w:cstheme="majorBidi"/>
      <w:b/>
      <w:bCs/>
      <w:color w:val="4F81BD" w:themeColor="accent1"/>
      <w:szCs w:val="22"/>
      <w:lang w:eastAsia="en-US"/>
    </w:rPr>
  </w:style>
  <w:style w:type="paragraph" w:styleId="NormalWeb">
    <w:name w:val="Normal (Web)"/>
    <w:basedOn w:val="Normal"/>
    <w:uiPriority w:val="99"/>
    <w:semiHidden/>
    <w:unhideWhenUsed/>
    <w:rsid w:val="00523D9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Single">
    <w:name w:val="Body Single"/>
    <w:basedOn w:val="BodyText"/>
    <w:link w:val="BodySingleChar"/>
    <w:uiPriority w:val="1"/>
    <w:qFormat/>
    <w:rsid w:val="00145C6E"/>
    <w:pPr>
      <w:spacing w:after="0"/>
    </w:pPr>
    <w:rPr>
      <w:rFonts w:eastAsiaTheme="minorHAnsi" w:cstheme="minorBidi"/>
      <w:szCs w:val="20"/>
    </w:rPr>
  </w:style>
  <w:style w:type="character" w:customStyle="1" w:styleId="BodySingleChar">
    <w:name w:val="Body Single Char"/>
    <w:basedOn w:val="BodyTextChar"/>
    <w:link w:val="BodySingle"/>
    <w:uiPriority w:val="1"/>
    <w:rsid w:val="00145C6E"/>
    <w:rPr>
      <w:rFonts w:eastAsiaTheme="minorHAnsi" w:cstheme="minorBidi"/>
      <w:lang w:eastAsia="en-US"/>
    </w:rPr>
  </w:style>
  <w:style w:type="character" w:styleId="Strong">
    <w:name w:val="Strong"/>
    <w:basedOn w:val="DefaultParagraphFont"/>
    <w:uiPriority w:val="22"/>
    <w:qFormat/>
    <w:locked/>
    <w:rsid w:val="00145C6E"/>
    <w:rPr>
      <w:b/>
      <w:bCs/>
    </w:rPr>
  </w:style>
</w:styles>
</file>

<file path=word/webSettings.xml><?xml version="1.0" encoding="utf-8"?>
<w:webSettings xmlns:r="http://schemas.openxmlformats.org/officeDocument/2006/relationships" xmlns:w="http://schemas.openxmlformats.org/wordprocessingml/2006/main">
  <w:divs>
    <w:div w:id="402487040">
      <w:bodyDiv w:val="1"/>
      <w:marLeft w:val="0"/>
      <w:marRight w:val="0"/>
      <w:marTop w:val="0"/>
      <w:marBottom w:val="0"/>
      <w:divBdr>
        <w:top w:val="none" w:sz="0" w:space="0" w:color="auto"/>
        <w:left w:val="none" w:sz="0" w:space="0" w:color="auto"/>
        <w:bottom w:val="none" w:sz="0" w:space="0" w:color="auto"/>
        <w:right w:val="none" w:sz="0" w:space="0" w:color="auto"/>
      </w:divBdr>
      <w:divsChild>
        <w:div w:id="588076656">
          <w:marLeft w:val="0"/>
          <w:marRight w:val="0"/>
          <w:marTop w:val="0"/>
          <w:marBottom w:val="0"/>
          <w:divBdr>
            <w:top w:val="none" w:sz="0" w:space="0" w:color="auto"/>
            <w:left w:val="none" w:sz="0" w:space="0" w:color="auto"/>
            <w:bottom w:val="none" w:sz="0" w:space="0" w:color="auto"/>
            <w:right w:val="none" w:sz="0" w:space="0" w:color="auto"/>
          </w:divBdr>
          <w:divsChild>
            <w:div w:id="1511407641">
              <w:marLeft w:val="0"/>
              <w:marRight w:val="0"/>
              <w:marTop w:val="0"/>
              <w:marBottom w:val="0"/>
              <w:divBdr>
                <w:top w:val="none" w:sz="0" w:space="0" w:color="auto"/>
                <w:left w:val="none" w:sz="0" w:space="0" w:color="auto"/>
                <w:bottom w:val="none" w:sz="0" w:space="0" w:color="auto"/>
                <w:right w:val="none" w:sz="0" w:space="0" w:color="auto"/>
              </w:divBdr>
              <w:divsChild>
                <w:div w:id="654839037">
                  <w:marLeft w:val="0"/>
                  <w:marRight w:val="0"/>
                  <w:marTop w:val="0"/>
                  <w:marBottom w:val="0"/>
                  <w:divBdr>
                    <w:top w:val="none" w:sz="0" w:space="0" w:color="auto"/>
                    <w:left w:val="none" w:sz="0" w:space="0" w:color="auto"/>
                    <w:bottom w:val="none" w:sz="0" w:space="0" w:color="auto"/>
                    <w:right w:val="none" w:sz="0" w:space="0" w:color="auto"/>
                  </w:divBdr>
                  <w:divsChild>
                    <w:div w:id="11767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carson@uk.pw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wc.com/ca/miningdeal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EE604-F544-46F2-9C2B-9C304486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2</Pages>
  <Words>661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4820</CharactersWithSpaces>
  <SharedDoc>false</SharedDoc>
  <HLinks>
    <vt:vector size="6" baseType="variant">
      <vt:variant>
        <vt:i4>5636202</vt:i4>
      </vt:variant>
      <vt:variant>
        <vt:i4>0</vt:i4>
      </vt:variant>
      <vt:variant>
        <vt:i4>0</vt:i4>
      </vt:variant>
      <vt:variant>
        <vt:i4>5</vt:i4>
      </vt:variant>
      <vt:variant>
        <vt:lpwstr>mailto:gill.carson@uk.pwc.com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Andrea Plasschaert</cp:lastModifiedBy>
  <cp:revision>2</cp:revision>
  <cp:lastPrinted>2013-03-19T11:18:00Z</cp:lastPrinted>
  <dcterms:created xsi:type="dcterms:W3CDTF">2013-03-23T15:28:00Z</dcterms:created>
  <dcterms:modified xsi:type="dcterms:W3CDTF">2013-03-23T15:28:00Z</dcterms:modified>
</cp:coreProperties>
</file>