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8F9" w:rsidRDefault="006D0A84" w:rsidP="00E40198">
      <w:pPr>
        <w:ind w:left="720"/>
        <w:jc w:val="right"/>
        <w:rPr>
          <w:rFonts w:ascii="Helvetica" w:hAnsi="Helvetica"/>
          <w:noProof/>
          <w:sz w:val="20"/>
        </w:rPr>
      </w:pPr>
      <w:r>
        <w:rPr>
          <w:rFonts w:ascii="Helvetica" w:hAnsi="Helvetica"/>
          <w:noProof/>
          <w:sz w:val="20"/>
        </w:rPr>
        <w:drawing>
          <wp:anchor distT="0" distB="0" distL="114300" distR="114300" simplePos="0" relativeHeight="251657728" behindDoc="0" locked="1" layoutInCell="1" allowOverlap="1">
            <wp:simplePos x="0" y="0"/>
            <wp:positionH relativeFrom="page">
              <wp:posOffset>892175</wp:posOffset>
            </wp:positionH>
            <wp:positionV relativeFrom="page">
              <wp:posOffset>495300</wp:posOffset>
            </wp:positionV>
            <wp:extent cx="1409700" cy="1266825"/>
            <wp:effectExtent l="0" t="0" r="0" b="0"/>
            <wp:wrapNone/>
            <wp:docPr id="2"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8" cstate="print"/>
                    <a:srcRect/>
                    <a:stretch>
                      <a:fillRect/>
                    </a:stretch>
                  </pic:blipFill>
                  <pic:spPr bwMode="auto">
                    <a:xfrm>
                      <a:off x="0" y="0"/>
                      <a:ext cx="1409700" cy="1266825"/>
                    </a:xfrm>
                    <a:prstGeom prst="rect">
                      <a:avLst/>
                    </a:prstGeom>
                    <a:noFill/>
                    <a:ln w="9525">
                      <a:noFill/>
                      <a:miter lim="800000"/>
                      <a:headEnd/>
                      <a:tailEnd/>
                    </a:ln>
                  </pic:spPr>
                </pic:pic>
              </a:graphicData>
            </a:graphic>
          </wp:anchor>
        </w:drawing>
      </w:r>
    </w:p>
    <w:p w:rsidR="008E009D" w:rsidRDefault="008E009D" w:rsidP="00E40198">
      <w:pPr>
        <w:ind w:left="720"/>
        <w:jc w:val="right"/>
        <w:rPr>
          <w:rFonts w:ascii="Helvetica" w:hAnsi="Helvetica"/>
          <w:noProof/>
          <w:sz w:val="20"/>
        </w:rPr>
      </w:pPr>
    </w:p>
    <w:p w:rsidR="008E009D" w:rsidRDefault="008E009D" w:rsidP="00E40198">
      <w:pPr>
        <w:ind w:left="720"/>
        <w:jc w:val="right"/>
        <w:rPr>
          <w:rFonts w:ascii="Helvetica" w:hAnsi="Helvetica"/>
          <w:noProof/>
          <w:sz w:val="20"/>
        </w:rPr>
      </w:pPr>
    </w:p>
    <w:p w:rsidR="008E009D" w:rsidRDefault="008E009D" w:rsidP="00E40198">
      <w:pPr>
        <w:ind w:left="720"/>
        <w:jc w:val="right"/>
        <w:rPr>
          <w:rFonts w:ascii="Helvetica" w:hAnsi="Helvetica"/>
          <w:noProof/>
          <w:sz w:val="20"/>
        </w:rPr>
      </w:pPr>
    </w:p>
    <w:p w:rsidR="008E009D" w:rsidRPr="00AC6DC6" w:rsidRDefault="008E009D" w:rsidP="00E40198">
      <w:pPr>
        <w:ind w:left="720"/>
        <w:jc w:val="right"/>
        <w:rPr>
          <w:rFonts w:ascii="Helvetica" w:hAnsi="Helvetica"/>
          <w:sz w:val="20"/>
        </w:rPr>
      </w:pPr>
    </w:p>
    <w:p w:rsidR="004D28F9" w:rsidRPr="00AC6DC6" w:rsidRDefault="004D28F9" w:rsidP="004D28F9">
      <w:pPr>
        <w:ind w:left="720"/>
        <w:rPr>
          <w:rFonts w:ascii="Helvetica" w:hAnsi="Helvetica"/>
          <w:sz w:val="20"/>
        </w:rPr>
      </w:pPr>
    </w:p>
    <w:p w:rsidR="00F928E9" w:rsidRDefault="00F928E9" w:rsidP="00F928E9">
      <w:pPr>
        <w:ind w:left="360"/>
        <w:rPr>
          <w:rFonts w:ascii="Georgia" w:hAnsi="Georgia" w:cs="Arial"/>
          <w:smallCaps/>
          <w:sz w:val="22"/>
          <w:szCs w:val="22"/>
        </w:rPr>
      </w:pPr>
      <w:r>
        <w:rPr>
          <w:rFonts w:ascii="Georgia" w:hAnsi="Georgia" w:cs="Arial"/>
          <w:b/>
          <w:sz w:val="22"/>
          <w:szCs w:val="22"/>
        </w:rPr>
        <w:t>Contacts:</w:t>
      </w:r>
      <w:r>
        <w:rPr>
          <w:rFonts w:ascii="Georgia" w:hAnsi="Georgia" w:cs="Arial"/>
          <w:smallCaps/>
          <w:sz w:val="22"/>
          <w:szCs w:val="22"/>
        </w:rPr>
        <w:tab/>
      </w:r>
    </w:p>
    <w:tbl>
      <w:tblPr>
        <w:tblW w:w="0" w:type="auto"/>
        <w:tblInd w:w="360" w:type="dxa"/>
        <w:tblLook w:val="04A0"/>
      </w:tblPr>
      <w:tblGrid>
        <w:gridCol w:w="2922"/>
        <w:gridCol w:w="944"/>
        <w:gridCol w:w="2202"/>
        <w:gridCol w:w="1250"/>
        <w:gridCol w:w="1898"/>
      </w:tblGrid>
      <w:tr w:rsidR="00AB0543" w:rsidRPr="00A66484" w:rsidTr="00AB0543">
        <w:trPr>
          <w:gridAfter w:val="1"/>
          <w:wAfter w:w="2297" w:type="dxa"/>
        </w:trPr>
        <w:tc>
          <w:tcPr>
            <w:tcW w:w="3978" w:type="dxa"/>
            <w:gridSpan w:val="2"/>
          </w:tcPr>
          <w:p w:rsidR="00AB0543" w:rsidRPr="00AB0543" w:rsidRDefault="00AB0543" w:rsidP="00AB0543">
            <w:pPr>
              <w:tabs>
                <w:tab w:val="left" w:pos="2880"/>
                <w:tab w:val="left" w:pos="6120"/>
              </w:tabs>
              <w:rPr>
                <w:rFonts w:ascii="Georgia" w:hAnsi="Georgia" w:cs="Arial"/>
                <w:color w:val="000000" w:themeColor="text1"/>
                <w:sz w:val="22"/>
                <w:szCs w:val="22"/>
                <w:lang w:val="de-DE"/>
              </w:rPr>
            </w:pPr>
            <w:r w:rsidRPr="00AB0543">
              <w:rPr>
                <w:rFonts w:ascii="Georgia" w:hAnsi="Georgia" w:cs="Arial"/>
                <w:color w:val="000000" w:themeColor="text1"/>
                <w:sz w:val="22"/>
                <w:szCs w:val="22"/>
                <w:lang w:val="de-DE"/>
              </w:rPr>
              <w:t>Kristin McCallum</w:t>
            </w:r>
            <w:r>
              <w:rPr>
                <w:rFonts w:ascii="Georgia" w:hAnsi="Georgia" w:cs="Arial"/>
                <w:color w:val="000000" w:themeColor="text1"/>
                <w:sz w:val="22"/>
                <w:szCs w:val="22"/>
                <w:lang w:val="de-DE"/>
              </w:rPr>
              <w:t xml:space="preserve"> Ritter</w:t>
            </w:r>
          </w:p>
          <w:p w:rsidR="00AB0543" w:rsidRPr="00AB0543" w:rsidRDefault="00AB0543" w:rsidP="00AB0543">
            <w:pPr>
              <w:tabs>
                <w:tab w:val="left" w:pos="2880"/>
                <w:tab w:val="left" w:pos="6120"/>
              </w:tabs>
              <w:rPr>
                <w:rFonts w:ascii="Georgia" w:hAnsi="Georgia" w:cs="Arial"/>
                <w:color w:val="000000" w:themeColor="text1"/>
                <w:sz w:val="22"/>
                <w:szCs w:val="22"/>
                <w:lang w:val="de-DE"/>
              </w:rPr>
            </w:pPr>
            <w:r w:rsidRPr="00AB0543">
              <w:rPr>
                <w:rFonts w:ascii="Georgia" w:hAnsi="Georgia" w:cs="Arial"/>
                <w:color w:val="000000" w:themeColor="text1"/>
                <w:sz w:val="22"/>
                <w:szCs w:val="22"/>
                <w:lang w:val="de-DE"/>
              </w:rPr>
              <w:t xml:space="preserve">PwC </w:t>
            </w:r>
            <w:r w:rsidRPr="00AB0543">
              <w:rPr>
                <w:rFonts w:ascii="Georgia" w:hAnsi="Georgia" w:cs="Arial"/>
                <w:color w:val="000000" w:themeColor="text1"/>
                <w:sz w:val="22"/>
                <w:szCs w:val="22"/>
                <w:lang w:val="de-DE"/>
              </w:rPr>
              <w:br/>
              <w:t>+1 (313) 394-6349</w:t>
            </w:r>
          </w:p>
          <w:p w:rsidR="00AB0543" w:rsidRPr="00AB0543" w:rsidRDefault="0048449A" w:rsidP="00AB0543">
            <w:pPr>
              <w:tabs>
                <w:tab w:val="left" w:pos="2880"/>
                <w:tab w:val="left" w:pos="6120"/>
              </w:tabs>
              <w:rPr>
                <w:rFonts w:ascii="Georgia" w:hAnsi="Georgia" w:cs="Arial"/>
                <w:color w:val="000000" w:themeColor="text1"/>
                <w:sz w:val="22"/>
                <w:szCs w:val="22"/>
                <w:lang w:val="de-DE"/>
              </w:rPr>
            </w:pPr>
            <w:hyperlink r:id="rId9" w:history="1">
              <w:r w:rsidR="00AB0543" w:rsidRPr="00AB0543">
                <w:rPr>
                  <w:rStyle w:val="Hyperlink"/>
                  <w:rFonts w:ascii="Georgia" w:hAnsi="Georgia" w:cs="Arial"/>
                  <w:color w:val="000000" w:themeColor="text1"/>
                  <w:sz w:val="22"/>
                  <w:szCs w:val="22"/>
                  <w:u w:val="none"/>
                  <w:lang w:val="de-DE"/>
                </w:rPr>
                <w:t>kristin.l.mccallum@us.pwc.com</w:t>
              </w:r>
            </w:hyperlink>
          </w:p>
        </w:tc>
        <w:tc>
          <w:tcPr>
            <w:tcW w:w="2941" w:type="dxa"/>
            <w:gridSpan w:val="2"/>
          </w:tcPr>
          <w:p w:rsidR="00AB0543" w:rsidRPr="00AB0543" w:rsidRDefault="006018D1" w:rsidP="00AB0543">
            <w:pPr>
              <w:tabs>
                <w:tab w:val="left" w:pos="2880"/>
                <w:tab w:val="left" w:pos="6120"/>
              </w:tabs>
              <w:rPr>
                <w:rFonts w:ascii="Georgia" w:hAnsi="Georgia" w:cs="Arial"/>
                <w:color w:val="000000" w:themeColor="text1"/>
                <w:sz w:val="22"/>
                <w:szCs w:val="22"/>
              </w:rPr>
            </w:pPr>
            <w:r>
              <w:rPr>
                <w:rFonts w:ascii="Georgia" w:hAnsi="Georgia" w:cs="Arial"/>
                <w:color w:val="000000" w:themeColor="text1"/>
                <w:sz w:val="22"/>
                <w:szCs w:val="22"/>
              </w:rPr>
              <w:t>Katura Hudson</w:t>
            </w:r>
          </w:p>
          <w:p w:rsidR="00AB0543" w:rsidRPr="00AB0543" w:rsidRDefault="00AB0543" w:rsidP="00AB0543">
            <w:pPr>
              <w:tabs>
                <w:tab w:val="left" w:pos="2880"/>
                <w:tab w:val="left" w:pos="6120"/>
              </w:tabs>
              <w:rPr>
                <w:rFonts w:ascii="Georgia" w:hAnsi="Georgia" w:cs="Arial"/>
                <w:color w:val="000000" w:themeColor="text1"/>
                <w:sz w:val="22"/>
                <w:szCs w:val="22"/>
              </w:rPr>
            </w:pPr>
            <w:r w:rsidRPr="00AB0543">
              <w:rPr>
                <w:rFonts w:ascii="Georgia" w:hAnsi="Georgia" w:cs="Arial"/>
                <w:color w:val="000000" w:themeColor="text1"/>
                <w:sz w:val="22"/>
                <w:szCs w:val="22"/>
              </w:rPr>
              <w:t>PwC US</w:t>
            </w:r>
          </w:p>
          <w:p w:rsidR="00AB0543" w:rsidRPr="00AB0543" w:rsidRDefault="00AB0543" w:rsidP="00AB0543">
            <w:pPr>
              <w:tabs>
                <w:tab w:val="left" w:pos="2880"/>
                <w:tab w:val="left" w:pos="6120"/>
              </w:tabs>
              <w:rPr>
                <w:rFonts w:ascii="Georgia" w:hAnsi="Georgia" w:cs="Arial"/>
                <w:color w:val="000000" w:themeColor="text1"/>
                <w:sz w:val="22"/>
                <w:szCs w:val="22"/>
              </w:rPr>
            </w:pPr>
            <w:r w:rsidRPr="00AB0543">
              <w:rPr>
                <w:rFonts w:ascii="Georgia" w:hAnsi="Georgia" w:cs="Arial"/>
                <w:color w:val="000000" w:themeColor="text1"/>
                <w:sz w:val="22"/>
                <w:szCs w:val="22"/>
              </w:rPr>
              <w:t>(</w:t>
            </w:r>
            <w:r w:rsidR="006018D1">
              <w:rPr>
                <w:rFonts w:ascii="Georgia" w:hAnsi="Georgia" w:cs="Arial"/>
                <w:color w:val="000000" w:themeColor="text1"/>
                <w:sz w:val="22"/>
                <w:szCs w:val="22"/>
              </w:rPr>
              <w:t>973</w:t>
            </w:r>
            <w:r w:rsidRPr="00AB0543">
              <w:rPr>
                <w:rFonts w:ascii="Georgia" w:hAnsi="Georgia" w:cs="Arial"/>
                <w:color w:val="000000" w:themeColor="text1"/>
                <w:sz w:val="22"/>
                <w:szCs w:val="22"/>
              </w:rPr>
              <w:t xml:space="preserve">) </w:t>
            </w:r>
            <w:r w:rsidR="006018D1">
              <w:rPr>
                <w:rFonts w:ascii="Georgia" w:hAnsi="Georgia" w:cs="Arial"/>
                <w:color w:val="000000" w:themeColor="text1"/>
                <w:sz w:val="22"/>
                <w:szCs w:val="22"/>
              </w:rPr>
              <w:t>236-5807</w:t>
            </w:r>
          </w:p>
          <w:p w:rsidR="00AB0543" w:rsidRPr="00AB0543" w:rsidRDefault="0048449A" w:rsidP="006018D1">
            <w:pPr>
              <w:tabs>
                <w:tab w:val="left" w:pos="2880"/>
                <w:tab w:val="left" w:pos="6120"/>
              </w:tabs>
              <w:rPr>
                <w:rFonts w:ascii="Georgia" w:hAnsi="Georgia" w:cs="Arial"/>
                <w:color w:val="000000" w:themeColor="text1"/>
                <w:sz w:val="22"/>
                <w:szCs w:val="22"/>
              </w:rPr>
            </w:pPr>
            <w:hyperlink r:id="rId10" w:history="1">
              <w:r w:rsidR="006018D1">
                <w:rPr>
                  <w:rStyle w:val="Hyperlink"/>
                  <w:rFonts w:ascii="Georgia" w:hAnsi="Georgia" w:cs="Arial"/>
                  <w:color w:val="000000" w:themeColor="text1"/>
                  <w:sz w:val="22"/>
                  <w:szCs w:val="22"/>
                  <w:u w:val="none"/>
                </w:rPr>
                <w:t>katura.j.hudson</w:t>
              </w:r>
              <w:r w:rsidR="006018D1" w:rsidRPr="00AB0543">
                <w:rPr>
                  <w:rStyle w:val="Hyperlink"/>
                  <w:rFonts w:ascii="Georgia" w:hAnsi="Georgia" w:cs="Arial"/>
                  <w:color w:val="000000" w:themeColor="text1"/>
                  <w:sz w:val="22"/>
                  <w:szCs w:val="22"/>
                  <w:u w:val="none"/>
                </w:rPr>
                <w:t>@us.pwc.com</w:t>
              </w:r>
            </w:hyperlink>
            <w:r w:rsidR="00AB0543" w:rsidRPr="00AB0543">
              <w:rPr>
                <w:rFonts w:ascii="Georgia" w:hAnsi="Georgia" w:cs="Arial"/>
                <w:color w:val="000000" w:themeColor="text1"/>
                <w:sz w:val="22"/>
                <w:szCs w:val="22"/>
              </w:rPr>
              <w:tab/>
            </w:r>
          </w:p>
        </w:tc>
      </w:tr>
      <w:tr w:rsidR="00F928E9" w:rsidTr="00AB0543">
        <w:tc>
          <w:tcPr>
            <w:tcW w:w="2938" w:type="dxa"/>
          </w:tcPr>
          <w:p w:rsidR="00F928E9" w:rsidRPr="00F928E9" w:rsidRDefault="00F928E9" w:rsidP="00F928E9">
            <w:pPr>
              <w:tabs>
                <w:tab w:val="left" w:pos="2880"/>
                <w:tab w:val="left" w:pos="6120"/>
              </w:tabs>
              <w:rPr>
                <w:rFonts w:ascii="Georgia" w:hAnsi="Georgia" w:cs="Arial"/>
                <w:color w:val="000000"/>
                <w:sz w:val="22"/>
                <w:szCs w:val="22"/>
              </w:rPr>
            </w:pPr>
          </w:p>
        </w:tc>
        <w:tc>
          <w:tcPr>
            <w:tcW w:w="2917" w:type="dxa"/>
            <w:gridSpan w:val="2"/>
          </w:tcPr>
          <w:p w:rsidR="00F928E9" w:rsidRPr="00F928E9" w:rsidRDefault="00F928E9" w:rsidP="002E6D9B">
            <w:pPr>
              <w:tabs>
                <w:tab w:val="left" w:pos="2880"/>
                <w:tab w:val="left" w:pos="6120"/>
              </w:tabs>
              <w:rPr>
                <w:rFonts w:ascii="Georgia" w:hAnsi="Georgia" w:cs="Arial"/>
                <w:color w:val="000000"/>
                <w:sz w:val="22"/>
                <w:szCs w:val="22"/>
                <w:lang w:val="de-DE"/>
              </w:rPr>
            </w:pPr>
          </w:p>
        </w:tc>
        <w:tc>
          <w:tcPr>
            <w:tcW w:w="3361" w:type="dxa"/>
            <w:gridSpan w:val="2"/>
          </w:tcPr>
          <w:p w:rsidR="00F928E9" w:rsidRPr="00F928E9" w:rsidRDefault="00F928E9" w:rsidP="00F30F2E">
            <w:pPr>
              <w:tabs>
                <w:tab w:val="left" w:pos="2880"/>
                <w:tab w:val="left" w:pos="6120"/>
              </w:tabs>
              <w:rPr>
                <w:rFonts w:ascii="Georgia" w:hAnsi="Georgia" w:cs="Arial"/>
                <w:color w:val="000000"/>
                <w:sz w:val="22"/>
                <w:szCs w:val="22"/>
              </w:rPr>
            </w:pPr>
          </w:p>
        </w:tc>
      </w:tr>
    </w:tbl>
    <w:p w:rsidR="00F928E9" w:rsidRDefault="00E220F4" w:rsidP="00F928E9">
      <w:pPr>
        <w:ind w:left="360"/>
        <w:outlineLvl w:val="0"/>
        <w:rPr>
          <w:rFonts w:ascii="Georgia" w:hAnsi="Georgia" w:cs="Arial"/>
          <w:b/>
        </w:rPr>
      </w:pPr>
      <w:r>
        <w:rPr>
          <w:rFonts w:ascii="Georgia" w:hAnsi="Georgia" w:cs="Arial"/>
          <w:b/>
        </w:rPr>
        <w:t>EMBARGOED UNTIL 7:</w:t>
      </w:r>
      <w:r w:rsidR="00523A46">
        <w:rPr>
          <w:rFonts w:ascii="Georgia" w:hAnsi="Georgia" w:cs="Arial"/>
          <w:b/>
        </w:rPr>
        <w:t xml:space="preserve">30 </w:t>
      </w:r>
      <w:r>
        <w:rPr>
          <w:rFonts w:ascii="Georgia" w:hAnsi="Georgia" w:cs="Arial"/>
          <w:b/>
        </w:rPr>
        <w:t xml:space="preserve">p.m. EST, January </w:t>
      </w:r>
      <w:r w:rsidR="0018636C">
        <w:rPr>
          <w:rFonts w:ascii="Georgia" w:hAnsi="Georgia" w:cs="Arial"/>
          <w:b/>
        </w:rPr>
        <w:t>16</w:t>
      </w:r>
    </w:p>
    <w:p w:rsidR="00A43129" w:rsidRPr="00A43129" w:rsidRDefault="00A43129" w:rsidP="00A43129">
      <w:pPr>
        <w:ind w:left="360"/>
        <w:rPr>
          <w:rFonts w:ascii="Georgia" w:hAnsi="Georgia"/>
          <w:b/>
          <w:sz w:val="28"/>
          <w:szCs w:val="28"/>
        </w:rPr>
      </w:pPr>
    </w:p>
    <w:p w:rsidR="00F84791" w:rsidRPr="00A43129" w:rsidRDefault="00E725C8" w:rsidP="00A43129">
      <w:pPr>
        <w:ind w:left="360"/>
        <w:jc w:val="center"/>
        <w:rPr>
          <w:rFonts w:ascii="Georgia" w:hAnsi="Georgia" w:cs="Arial"/>
          <w:b/>
          <w:sz w:val="28"/>
          <w:szCs w:val="28"/>
        </w:rPr>
      </w:pPr>
      <w:r>
        <w:rPr>
          <w:rFonts w:ascii="Georgia" w:hAnsi="Georgia" w:cs="Arial"/>
          <w:b/>
          <w:sz w:val="28"/>
          <w:szCs w:val="28"/>
        </w:rPr>
        <w:t>Volkswagen AG, BMW AG, Continental</w:t>
      </w:r>
      <w:r w:rsidR="00097938">
        <w:rPr>
          <w:rFonts w:ascii="Georgia" w:hAnsi="Georgia" w:cs="Arial"/>
          <w:b/>
          <w:sz w:val="28"/>
          <w:szCs w:val="28"/>
        </w:rPr>
        <w:t xml:space="preserve"> </w:t>
      </w:r>
      <w:r>
        <w:rPr>
          <w:rFonts w:ascii="Georgia" w:hAnsi="Georgia" w:cs="Arial"/>
          <w:b/>
          <w:sz w:val="28"/>
          <w:szCs w:val="28"/>
        </w:rPr>
        <w:t>AG,</w:t>
      </w:r>
      <w:r w:rsidR="003A6DBD">
        <w:rPr>
          <w:rFonts w:ascii="Georgia" w:hAnsi="Georgia" w:cs="Arial"/>
          <w:b/>
          <w:sz w:val="28"/>
          <w:szCs w:val="28"/>
        </w:rPr>
        <w:t xml:space="preserve"> Plastic Omnium, and Lithia Motors, Inc.</w:t>
      </w:r>
      <w:r w:rsidR="00646004">
        <w:rPr>
          <w:rFonts w:ascii="Georgia" w:hAnsi="Georgia" w:cs="Arial"/>
          <w:b/>
          <w:sz w:val="28"/>
          <w:szCs w:val="28"/>
        </w:rPr>
        <w:t xml:space="preserve"> </w:t>
      </w:r>
      <w:r w:rsidR="00F30F2E">
        <w:rPr>
          <w:rFonts w:ascii="Georgia" w:hAnsi="Georgia" w:cs="Arial"/>
          <w:b/>
          <w:sz w:val="28"/>
          <w:szCs w:val="28"/>
        </w:rPr>
        <w:t>R</w:t>
      </w:r>
      <w:r w:rsidR="00F84791" w:rsidRPr="00A43129">
        <w:rPr>
          <w:rFonts w:ascii="Georgia" w:hAnsi="Georgia" w:cs="Arial"/>
          <w:b/>
          <w:sz w:val="28"/>
          <w:szCs w:val="28"/>
        </w:rPr>
        <w:t>eceive Global Automotive Shareholder Value Award</w:t>
      </w:r>
      <w:r w:rsidR="007A3CF8">
        <w:rPr>
          <w:rFonts w:ascii="Georgia" w:hAnsi="Georgia" w:cs="Arial"/>
          <w:b/>
          <w:sz w:val="28"/>
          <w:szCs w:val="28"/>
        </w:rPr>
        <w:t>s</w:t>
      </w:r>
      <w:r w:rsidR="00F84791" w:rsidRPr="00A43129">
        <w:rPr>
          <w:rFonts w:ascii="Georgia" w:hAnsi="Georgia" w:cs="Arial"/>
          <w:b/>
          <w:sz w:val="28"/>
          <w:szCs w:val="28"/>
        </w:rPr>
        <w:t xml:space="preserve"> </w:t>
      </w:r>
      <w:r w:rsidR="00F30F2E">
        <w:rPr>
          <w:rFonts w:ascii="Georgia" w:hAnsi="Georgia" w:cs="Arial"/>
          <w:b/>
          <w:sz w:val="28"/>
          <w:szCs w:val="28"/>
        </w:rPr>
        <w:t>P</w:t>
      </w:r>
      <w:r w:rsidR="00F84791" w:rsidRPr="00A43129">
        <w:rPr>
          <w:rFonts w:ascii="Georgia" w:hAnsi="Georgia" w:cs="Arial"/>
          <w:b/>
          <w:sz w:val="28"/>
          <w:szCs w:val="28"/>
        </w:rPr>
        <w:t xml:space="preserve">resented by PwC and </w:t>
      </w:r>
      <w:r w:rsidR="00F84791" w:rsidRPr="00A43129">
        <w:rPr>
          <w:rFonts w:ascii="Georgia" w:hAnsi="Georgia" w:cs="Arial"/>
          <w:b/>
          <w:i/>
          <w:sz w:val="28"/>
          <w:szCs w:val="28"/>
        </w:rPr>
        <w:t>Automotive News</w:t>
      </w:r>
    </w:p>
    <w:p w:rsidR="00F84791" w:rsidRPr="00B45299" w:rsidRDefault="00F84791" w:rsidP="00A43129">
      <w:pPr>
        <w:tabs>
          <w:tab w:val="left" w:pos="4035"/>
        </w:tabs>
        <w:spacing w:line="360" w:lineRule="auto"/>
        <w:ind w:left="360"/>
        <w:rPr>
          <w:rFonts w:ascii="Georgia" w:hAnsi="Georgia" w:cs="Arial"/>
          <w:sz w:val="20"/>
          <w:szCs w:val="20"/>
        </w:rPr>
      </w:pPr>
      <w:r w:rsidRPr="00A43129">
        <w:rPr>
          <w:rFonts w:ascii="Georgia" w:hAnsi="Georgia" w:cs="Arial"/>
        </w:rPr>
        <w:tab/>
      </w:r>
    </w:p>
    <w:p w:rsidR="00F84791" w:rsidRPr="00A43129" w:rsidRDefault="00F84791" w:rsidP="00A43129">
      <w:pPr>
        <w:ind w:left="360"/>
        <w:rPr>
          <w:rFonts w:ascii="Georgia" w:hAnsi="Georgia" w:cs="Arial"/>
        </w:rPr>
      </w:pPr>
      <w:r w:rsidRPr="00A43129">
        <w:rPr>
          <w:rFonts w:ascii="Georgia" w:hAnsi="Georgia" w:cs="Arial"/>
          <w:b/>
        </w:rPr>
        <w:t>DETROIT, J</w:t>
      </w:r>
      <w:r w:rsidR="00F928E9">
        <w:rPr>
          <w:rFonts w:ascii="Georgia" w:hAnsi="Georgia" w:cs="Arial"/>
          <w:b/>
        </w:rPr>
        <w:t>AN.</w:t>
      </w:r>
      <w:r w:rsidRPr="00A43129">
        <w:rPr>
          <w:rFonts w:ascii="Georgia" w:hAnsi="Georgia" w:cs="Arial"/>
          <w:b/>
        </w:rPr>
        <w:t xml:space="preserve"> </w:t>
      </w:r>
      <w:r w:rsidR="0018636C">
        <w:rPr>
          <w:rFonts w:ascii="Georgia" w:hAnsi="Georgia" w:cs="Arial"/>
          <w:b/>
        </w:rPr>
        <w:t>16</w:t>
      </w:r>
      <w:r w:rsidRPr="00A43129">
        <w:rPr>
          <w:rFonts w:ascii="Georgia" w:hAnsi="Georgia" w:cs="Arial"/>
          <w:b/>
        </w:rPr>
        <w:t>, 201</w:t>
      </w:r>
      <w:r w:rsidR="00A134AF">
        <w:rPr>
          <w:rFonts w:ascii="Georgia" w:hAnsi="Georgia" w:cs="Arial"/>
          <w:b/>
        </w:rPr>
        <w:t>3</w:t>
      </w:r>
      <w:r w:rsidRPr="00A43129">
        <w:rPr>
          <w:rFonts w:ascii="Georgia" w:hAnsi="Georgia" w:cs="Arial"/>
        </w:rPr>
        <w:t xml:space="preserve"> ― </w:t>
      </w:r>
      <w:r w:rsidRPr="00A43129">
        <w:rPr>
          <w:rFonts w:ascii="Georgia" w:hAnsi="Georgia" w:cs="Arial"/>
          <w:i/>
        </w:rPr>
        <w:t>Automotive News</w:t>
      </w:r>
      <w:r w:rsidRPr="00A43129">
        <w:rPr>
          <w:rFonts w:ascii="Georgia" w:hAnsi="Georgia" w:cs="Arial"/>
        </w:rPr>
        <w:t xml:space="preserve"> announced the winners of the Global Automotive Shareholder Value Award</w:t>
      </w:r>
      <w:r w:rsidR="007A3CF8">
        <w:rPr>
          <w:rFonts w:ascii="Georgia" w:hAnsi="Georgia" w:cs="Arial"/>
        </w:rPr>
        <w:t>s</w:t>
      </w:r>
      <w:r w:rsidRPr="00A43129">
        <w:rPr>
          <w:rFonts w:ascii="Georgia" w:hAnsi="Georgia" w:cs="Arial"/>
        </w:rPr>
        <w:t xml:space="preserve"> for one- and three-year performance </w:t>
      </w:r>
      <w:r w:rsidR="007A3CF8">
        <w:rPr>
          <w:rFonts w:ascii="Georgia" w:hAnsi="Georgia" w:cs="Arial"/>
        </w:rPr>
        <w:t xml:space="preserve">periods </w:t>
      </w:r>
      <w:r w:rsidRPr="00A43129">
        <w:rPr>
          <w:rFonts w:ascii="Georgia" w:hAnsi="Georgia" w:cs="Arial"/>
        </w:rPr>
        <w:t xml:space="preserve">by Global Vehicle Manufacturers, Global Automotive Suppliers and U.S. Automotive Retailers.  The annual event was held </w:t>
      </w:r>
      <w:r w:rsidR="00410DF8">
        <w:rPr>
          <w:rFonts w:ascii="Georgia" w:hAnsi="Georgia" w:cs="Arial"/>
        </w:rPr>
        <w:t xml:space="preserve">January </w:t>
      </w:r>
      <w:r w:rsidR="0018636C">
        <w:rPr>
          <w:rFonts w:ascii="Georgia" w:hAnsi="Georgia" w:cs="Arial"/>
        </w:rPr>
        <w:t>16</w:t>
      </w:r>
      <w:r w:rsidR="00410DF8">
        <w:rPr>
          <w:rFonts w:ascii="Georgia" w:hAnsi="Georgia" w:cs="Arial"/>
        </w:rPr>
        <w:t>,</w:t>
      </w:r>
      <w:r w:rsidR="00852714">
        <w:rPr>
          <w:rFonts w:ascii="Georgia" w:hAnsi="Georgia" w:cs="Arial"/>
        </w:rPr>
        <w:t xml:space="preserve"> </w:t>
      </w:r>
      <w:r w:rsidRPr="00A43129">
        <w:rPr>
          <w:rFonts w:ascii="Georgia" w:hAnsi="Georgia" w:cs="Arial"/>
        </w:rPr>
        <w:t xml:space="preserve">in conjunction with the Automotive News World Congress in Detroit, Michigan.  </w:t>
      </w:r>
    </w:p>
    <w:p w:rsidR="00F84791" w:rsidRPr="00A43129" w:rsidRDefault="00F84791" w:rsidP="00A43129">
      <w:pPr>
        <w:ind w:left="360"/>
        <w:rPr>
          <w:rFonts w:ascii="Georgia" w:hAnsi="Georgia" w:cs="Arial"/>
        </w:rPr>
      </w:pPr>
    </w:p>
    <w:p w:rsidR="00F84791" w:rsidRPr="00A43129" w:rsidRDefault="00F84791" w:rsidP="00A43129">
      <w:pPr>
        <w:ind w:left="360"/>
        <w:rPr>
          <w:rFonts w:ascii="Georgia" w:hAnsi="Georgia" w:cs="Arial"/>
        </w:rPr>
      </w:pPr>
      <w:r w:rsidRPr="00A43129">
        <w:rPr>
          <w:rFonts w:ascii="Georgia" w:hAnsi="Georgia" w:cs="Arial"/>
        </w:rPr>
        <w:t xml:space="preserve">The winners were determined by their total shareholder return relative to the PwC Global Automotive Shareholder Value Index in each of </w:t>
      </w:r>
      <w:r w:rsidR="00F30F2E">
        <w:rPr>
          <w:rFonts w:ascii="Georgia" w:hAnsi="Georgia" w:cs="Arial"/>
        </w:rPr>
        <w:t xml:space="preserve">the </w:t>
      </w:r>
      <w:r w:rsidRPr="00A43129">
        <w:rPr>
          <w:rFonts w:ascii="Georgia" w:hAnsi="Georgia" w:cs="Arial"/>
        </w:rPr>
        <w:t xml:space="preserve">three categories. Developed specifically for the automotive sector, the indices provide information on relative returns. </w:t>
      </w:r>
      <w:r w:rsidRPr="00A43129">
        <w:rPr>
          <w:rFonts w:ascii="Georgia" w:hAnsi="Georgia" w:cs="Arial"/>
        </w:rPr>
        <w:br/>
      </w:r>
    </w:p>
    <w:p w:rsidR="00F84791" w:rsidRPr="00A43129" w:rsidRDefault="00F84791" w:rsidP="00A43129">
      <w:pPr>
        <w:ind w:left="360"/>
        <w:rPr>
          <w:rFonts w:ascii="Georgia" w:hAnsi="Georgia" w:cs="Arial"/>
          <w:i/>
        </w:rPr>
      </w:pPr>
      <w:r w:rsidRPr="00A43129">
        <w:rPr>
          <w:rFonts w:ascii="Georgia" w:hAnsi="Georgia" w:cs="Arial"/>
        </w:rPr>
        <w:t>This year's winners a</w:t>
      </w:r>
      <w:r w:rsidR="007A3CF8">
        <w:rPr>
          <w:rFonts w:ascii="Georgia" w:hAnsi="Georgia" w:cs="Arial"/>
        </w:rPr>
        <w:t xml:space="preserve">re represented in the following </w:t>
      </w:r>
      <w:r w:rsidRPr="00A43129">
        <w:rPr>
          <w:rFonts w:ascii="Georgia" w:hAnsi="Georgia" w:cs="Arial"/>
        </w:rPr>
        <w:t>table, along with the corresponding indices:</w:t>
      </w:r>
      <w:r w:rsidRPr="00A43129">
        <w:rPr>
          <w:rFonts w:ascii="Georgia" w:hAnsi="Georgia" w:cs="Arial"/>
        </w:rPr>
        <w:br/>
      </w:r>
    </w:p>
    <w:tbl>
      <w:tblPr>
        <w:tblW w:w="9270" w:type="dxa"/>
        <w:tblInd w:w="468" w:type="dxa"/>
        <w:tblLayout w:type="fixed"/>
        <w:tblLook w:val="0000"/>
      </w:tblPr>
      <w:tblGrid>
        <w:gridCol w:w="1980"/>
        <w:gridCol w:w="1620"/>
        <w:gridCol w:w="1620"/>
        <w:gridCol w:w="1170"/>
        <w:gridCol w:w="1080"/>
        <w:gridCol w:w="1800"/>
      </w:tblGrid>
      <w:tr w:rsidR="00410DF8" w:rsidRPr="00A43129" w:rsidTr="00AB0543">
        <w:trPr>
          <w:trHeight w:val="510"/>
        </w:trPr>
        <w:tc>
          <w:tcPr>
            <w:tcW w:w="1980" w:type="dxa"/>
            <w:tcBorders>
              <w:top w:val="single" w:sz="8" w:space="0" w:color="auto"/>
              <w:left w:val="single" w:sz="8" w:space="0" w:color="auto"/>
              <w:bottom w:val="single" w:sz="4" w:space="0" w:color="auto"/>
              <w:right w:val="single" w:sz="4" w:space="0" w:color="auto"/>
            </w:tcBorders>
            <w:shd w:val="clear" w:color="auto" w:fill="000000"/>
          </w:tcPr>
          <w:p w:rsidR="00410DF8" w:rsidRPr="00A43129" w:rsidRDefault="00410DF8" w:rsidP="00AB4D6C">
            <w:pPr>
              <w:rPr>
                <w:rFonts w:ascii="Georgia" w:hAnsi="Georgia" w:cs="Arial"/>
                <w:b/>
                <w:bCs/>
                <w:color w:val="FFFFFF"/>
                <w:sz w:val="20"/>
                <w:szCs w:val="20"/>
              </w:rPr>
            </w:pPr>
            <w:r w:rsidRPr="00A43129">
              <w:rPr>
                <w:rFonts w:ascii="Georgia" w:hAnsi="Georgia" w:cs="Arial"/>
                <w:b/>
                <w:bCs/>
                <w:color w:val="FFFFFF"/>
                <w:sz w:val="20"/>
                <w:szCs w:val="20"/>
              </w:rPr>
              <w:t>Award Category</w:t>
            </w:r>
          </w:p>
        </w:tc>
        <w:tc>
          <w:tcPr>
            <w:tcW w:w="1620" w:type="dxa"/>
            <w:tcBorders>
              <w:top w:val="single" w:sz="8" w:space="0" w:color="auto"/>
              <w:left w:val="nil"/>
              <w:bottom w:val="single" w:sz="4" w:space="0" w:color="auto"/>
              <w:right w:val="single" w:sz="4" w:space="0" w:color="auto"/>
            </w:tcBorders>
            <w:shd w:val="clear" w:color="auto" w:fill="000000"/>
          </w:tcPr>
          <w:p w:rsidR="00410DF8" w:rsidRPr="00A43129" w:rsidRDefault="00410DF8" w:rsidP="00AB4D6C">
            <w:pPr>
              <w:rPr>
                <w:rFonts w:ascii="Georgia" w:hAnsi="Georgia" w:cs="Arial"/>
                <w:b/>
                <w:bCs/>
                <w:color w:val="FFFFFF"/>
                <w:sz w:val="20"/>
                <w:szCs w:val="20"/>
              </w:rPr>
            </w:pPr>
            <w:r w:rsidRPr="00A43129">
              <w:rPr>
                <w:rFonts w:ascii="Georgia" w:hAnsi="Georgia" w:cs="Arial"/>
                <w:b/>
                <w:bCs/>
                <w:color w:val="FFFFFF"/>
                <w:sz w:val="20"/>
                <w:szCs w:val="20"/>
              </w:rPr>
              <w:t>Performance Period</w:t>
            </w:r>
          </w:p>
        </w:tc>
        <w:tc>
          <w:tcPr>
            <w:tcW w:w="1620" w:type="dxa"/>
            <w:tcBorders>
              <w:top w:val="single" w:sz="8" w:space="0" w:color="auto"/>
              <w:left w:val="nil"/>
              <w:bottom w:val="single" w:sz="4" w:space="0" w:color="auto"/>
              <w:right w:val="single" w:sz="4" w:space="0" w:color="auto"/>
            </w:tcBorders>
            <w:shd w:val="clear" w:color="auto" w:fill="000000"/>
          </w:tcPr>
          <w:p w:rsidR="00410DF8" w:rsidRPr="00A43129" w:rsidRDefault="00410DF8" w:rsidP="00AB4D6C">
            <w:pPr>
              <w:rPr>
                <w:rFonts w:ascii="Georgia" w:hAnsi="Georgia" w:cs="Arial"/>
                <w:b/>
                <w:bCs/>
                <w:color w:val="FFFFFF"/>
                <w:sz w:val="20"/>
                <w:szCs w:val="20"/>
              </w:rPr>
            </w:pPr>
            <w:r w:rsidRPr="00A43129">
              <w:rPr>
                <w:rFonts w:ascii="Georgia" w:hAnsi="Georgia" w:cs="Arial"/>
                <w:b/>
                <w:bCs/>
                <w:color w:val="FFFFFF"/>
                <w:sz w:val="20"/>
                <w:szCs w:val="20"/>
              </w:rPr>
              <w:t>Company</w:t>
            </w:r>
          </w:p>
        </w:tc>
        <w:tc>
          <w:tcPr>
            <w:tcW w:w="1170" w:type="dxa"/>
            <w:tcBorders>
              <w:top w:val="single" w:sz="8" w:space="0" w:color="auto"/>
              <w:left w:val="nil"/>
              <w:bottom w:val="single" w:sz="4" w:space="0" w:color="auto"/>
              <w:right w:val="single" w:sz="4" w:space="0" w:color="auto"/>
            </w:tcBorders>
            <w:shd w:val="clear" w:color="auto" w:fill="000000"/>
          </w:tcPr>
          <w:p w:rsidR="00410DF8" w:rsidRPr="00A43129" w:rsidRDefault="00410DF8" w:rsidP="00AB4D6C">
            <w:pPr>
              <w:rPr>
                <w:rFonts w:ascii="Georgia" w:hAnsi="Georgia" w:cs="Arial"/>
                <w:b/>
                <w:bCs/>
                <w:color w:val="FFFFFF"/>
                <w:sz w:val="20"/>
                <w:szCs w:val="20"/>
              </w:rPr>
            </w:pPr>
            <w:r w:rsidRPr="00A43129">
              <w:rPr>
                <w:rFonts w:ascii="Georgia" w:hAnsi="Georgia" w:cs="Arial"/>
                <w:b/>
                <w:bCs/>
                <w:color w:val="FFFFFF"/>
                <w:sz w:val="20"/>
                <w:szCs w:val="20"/>
              </w:rPr>
              <w:t>H.Q.</w:t>
            </w:r>
          </w:p>
        </w:tc>
        <w:tc>
          <w:tcPr>
            <w:tcW w:w="1080" w:type="dxa"/>
            <w:tcBorders>
              <w:top w:val="single" w:sz="4" w:space="0" w:color="auto"/>
              <w:left w:val="single" w:sz="4" w:space="0" w:color="auto"/>
              <w:bottom w:val="single" w:sz="4" w:space="0" w:color="auto"/>
              <w:right w:val="single" w:sz="4" w:space="0" w:color="auto"/>
            </w:tcBorders>
            <w:shd w:val="clear" w:color="auto" w:fill="000000"/>
          </w:tcPr>
          <w:p w:rsidR="00410DF8" w:rsidRPr="00A43129" w:rsidRDefault="00410DF8" w:rsidP="00AB4D6C">
            <w:pPr>
              <w:rPr>
                <w:rFonts w:ascii="Georgia" w:hAnsi="Georgia" w:cs="Arial"/>
                <w:b/>
                <w:bCs/>
                <w:color w:val="FFFFFF"/>
                <w:sz w:val="20"/>
                <w:szCs w:val="20"/>
              </w:rPr>
            </w:pPr>
            <w:r w:rsidRPr="00A43129">
              <w:rPr>
                <w:rFonts w:ascii="Georgia" w:hAnsi="Georgia" w:cs="Arial"/>
                <w:b/>
                <w:bCs/>
                <w:color w:val="FFFFFF"/>
                <w:sz w:val="20"/>
                <w:szCs w:val="20"/>
              </w:rPr>
              <w:t>Return</w:t>
            </w:r>
          </w:p>
        </w:tc>
        <w:tc>
          <w:tcPr>
            <w:tcW w:w="1800" w:type="dxa"/>
            <w:tcBorders>
              <w:top w:val="single" w:sz="4" w:space="0" w:color="auto"/>
              <w:left w:val="single" w:sz="4" w:space="0" w:color="auto"/>
              <w:bottom w:val="single" w:sz="4" w:space="0" w:color="auto"/>
              <w:right w:val="single" w:sz="4" w:space="0" w:color="auto"/>
            </w:tcBorders>
            <w:shd w:val="clear" w:color="auto" w:fill="000000"/>
          </w:tcPr>
          <w:p w:rsidR="00410DF8" w:rsidRPr="00A43129" w:rsidRDefault="00410DF8" w:rsidP="00AB4D6C">
            <w:pPr>
              <w:rPr>
                <w:rFonts w:ascii="Georgia" w:hAnsi="Georgia" w:cs="Arial"/>
                <w:b/>
                <w:bCs/>
                <w:color w:val="FFFFFF"/>
                <w:sz w:val="20"/>
                <w:szCs w:val="20"/>
              </w:rPr>
            </w:pPr>
            <w:r w:rsidRPr="00A43129">
              <w:rPr>
                <w:rFonts w:ascii="Georgia" w:hAnsi="Georgia" w:cs="Arial"/>
                <w:b/>
                <w:bCs/>
                <w:color w:val="FFFFFF"/>
                <w:sz w:val="20"/>
                <w:szCs w:val="20"/>
              </w:rPr>
              <w:t>PwC Shareholder Value Index</w:t>
            </w:r>
          </w:p>
        </w:tc>
      </w:tr>
      <w:tr w:rsidR="00AB0543" w:rsidRPr="00A43129" w:rsidTr="00AB0543">
        <w:trPr>
          <w:trHeight w:val="485"/>
        </w:trPr>
        <w:tc>
          <w:tcPr>
            <w:tcW w:w="1980" w:type="dxa"/>
            <w:tcBorders>
              <w:top w:val="nil"/>
              <w:left w:val="single" w:sz="8" w:space="0" w:color="auto"/>
              <w:bottom w:val="single" w:sz="4" w:space="0" w:color="auto"/>
              <w:right w:val="single" w:sz="4" w:space="0" w:color="auto"/>
            </w:tcBorders>
            <w:shd w:val="clear" w:color="auto" w:fill="auto"/>
            <w:noWrap/>
            <w:vAlign w:val="bottom"/>
          </w:tcPr>
          <w:p w:rsidR="00AB0543" w:rsidRPr="00A43129" w:rsidRDefault="00AB0543" w:rsidP="00AB4D6C">
            <w:pPr>
              <w:rPr>
                <w:rFonts w:ascii="Georgia" w:hAnsi="Georgia" w:cs="Arial"/>
                <w:sz w:val="21"/>
                <w:szCs w:val="21"/>
              </w:rPr>
            </w:pPr>
            <w:r w:rsidRPr="00A43129">
              <w:rPr>
                <w:rFonts w:ascii="Georgia" w:hAnsi="Georgia" w:cs="Arial"/>
                <w:sz w:val="21"/>
                <w:szCs w:val="21"/>
              </w:rPr>
              <w:t>Global vehicle manufacturers</w:t>
            </w:r>
          </w:p>
        </w:tc>
        <w:tc>
          <w:tcPr>
            <w:tcW w:w="1620" w:type="dxa"/>
            <w:tcBorders>
              <w:top w:val="nil"/>
              <w:left w:val="nil"/>
              <w:bottom w:val="single" w:sz="4" w:space="0" w:color="auto"/>
              <w:right w:val="single" w:sz="4" w:space="0" w:color="auto"/>
            </w:tcBorders>
            <w:shd w:val="clear" w:color="auto" w:fill="auto"/>
            <w:noWrap/>
            <w:vAlign w:val="bottom"/>
          </w:tcPr>
          <w:p w:rsidR="00AB0543" w:rsidRPr="00A43129" w:rsidRDefault="00AB0543" w:rsidP="00AB4D6C">
            <w:pPr>
              <w:rPr>
                <w:rFonts w:ascii="Georgia" w:hAnsi="Georgia" w:cs="Arial"/>
                <w:sz w:val="21"/>
                <w:szCs w:val="21"/>
              </w:rPr>
            </w:pPr>
            <w:r w:rsidRPr="00A43129">
              <w:rPr>
                <w:rFonts w:ascii="Georgia" w:hAnsi="Georgia" w:cs="Arial"/>
                <w:sz w:val="21"/>
                <w:szCs w:val="21"/>
              </w:rPr>
              <w:t>Three-year</w:t>
            </w:r>
          </w:p>
        </w:tc>
        <w:tc>
          <w:tcPr>
            <w:tcW w:w="1620" w:type="dxa"/>
            <w:tcBorders>
              <w:top w:val="nil"/>
              <w:left w:val="nil"/>
              <w:bottom w:val="single" w:sz="4" w:space="0" w:color="auto"/>
              <w:right w:val="single" w:sz="4" w:space="0" w:color="auto"/>
            </w:tcBorders>
            <w:shd w:val="clear" w:color="auto" w:fill="auto"/>
            <w:noWrap/>
            <w:vAlign w:val="bottom"/>
          </w:tcPr>
          <w:p w:rsidR="00AB0543" w:rsidRPr="00A43129" w:rsidRDefault="00AB0543" w:rsidP="00AB4D6C">
            <w:pPr>
              <w:rPr>
                <w:rFonts w:ascii="Georgia" w:hAnsi="Georgia" w:cs="Arial"/>
                <w:sz w:val="21"/>
                <w:szCs w:val="21"/>
              </w:rPr>
            </w:pPr>
            <w:r>
              <w:rPr>
                <w:rFonts w:ascii="Georgia" w:hAnsi="Georgia" w:cs="Arial"/>
                <w:sz w:val="21"/>
                <w:szCs w:val="21"/>
              </w:rPr>
              <w:t>BMW AG</w:t>
            </w:r>
          </w:p>
        </w:tc>
        <w:tc>
          <w:tcPr>
            <w:tcW w:w="1170" w:type="dxa"/>
            <w:tcBorders>
              <w:top w:val="nil"/>
              <w:left w:val="nil"/>
              <w:bottom w:val="single" w:sz="4" w:space="0" w:color="auto"/>
              <w:right w:val="single" w:sz="4" w:space="0" w:color="auto"/>
            </w:tcBorders>
            <w:vAlign w:val="bottom"/>
          </w:tcPr>
          <w:p w:rsidR="00AB0543" w:rsidRDefault="00AB0543">
            <w:pPr>
              <w:rPr>
                <w:rFonts w:ascii="Georgia" w:hAnsi="Georgia" w:cs="Arial"/>
                <w:sz w:val="21"/>
                <w:szCs w:val="21"/>
              </w:rPr>
            </w:pPr>
            <w:r>
              <w:rPr>
                <w:rFonts w:ascii="Georgia" w:hAnsi="Georgia" w:cs="Arial"/>
                <w:sz w:val="21"/>
                <w:szCs w:val="21"/>
              </w:rPr>
              <w:t>Germany</w:t>
            </w:r>
          </w:p>
        </w:tc>
        <w:tc>
          <w:tcPr>
            <w:tcW w:w="1080" w:type="dxa"/>
            <w:tcBorders>
              <w:top w:val="single" w:sz="4" w:space="0" w:color="auto"/>
              <w:left w:val="single" w:sz="4" w:space="0" w:color="auto"/>
              <w:bottom w:val="single" w:sz="4" w:space="0" w:color="auto"/>
              <w:right w:val="single" w:sz="4" w:space="0" w:color="auto"/>
            </w:tcBorders>
            <w:vAlign w:val="bottom"/>
          </w:tcPr>
          <w:p w:rsidR="00AB0543" w:rsidRPr="00A43129" w:rsidRDefault="00AB0543" w:rsidP="005135B5">
            <w:pPr>
              <w:jc w:val="right"/>
              <w:rPr>
                <w:rFonts w:ascii="Georgia" w:hAnsi="Georgia" w:cs="Arial"/>
                <w:sz w:val="21"/>
                <w:szCs w:val="21"/>
              </w:rPr>
            </w:pPr>
            <w:r>
              <w:rPr>
                <w:rFonts w:ascii="Georgia" w:hAnsi="Georgia" w:cs="Arial"/>
                <w:sz w:val="21"/>
                <w:szCs w:val="21"/>
              </w:rPr>
              <w:t>+125.6%</w:t>
            </w:r>
          </w:p>
        </w:tc>
        <w:tc>
          <w:tcPr>
            <w:tcW w:w="1800" w:type="dxa"/>
            <w:tcBorders>
              <w:top w:val="single" w:sz="4" w:space="0" w:color="auto"/>
              <w:left w:val="single" w:sz="4" w:space="0" w:color="auto"/>
              <w:bottom w:val="single" w:sz="4" w:space="0" w:color="auto"/>
              <w:right w:val="single" w:sz="4" w:space="0" w:color="auto"/>
            </w:tcBorders>
            <w:vAlign w:val="bottom"/>
          </w:tcPr>
          <w:p w:rsidR="00AB0543" w:rsidRPr="00A43129" w:rsidRDefault="00AB0543" w:rsidP="0056525E">
            <w:pPr>
              <w:jc w:val="right"/>
              <w:rPr>
                <w:rFonts w:ascii="Georgia" w:hAnsi="Georgia" w:cs="Arial"/>
                <w:sz w:val="21"/>
                <w:szCs w:val="21"/>
              </w:rPr>
            </w:pPr>
            <w:r>
              <w:rPr>
                <w:rFonts w:ascii="Georgia" w:hAnsi="Georgia" w:cs="Arial"/>
                <w:sz w:val="21"/>
                <w:szCs w:val="21"/>
              </w:rPr>
              <w:t>+40.</w:t>
            </w:r>
            <w:r w:rsidR="0056525E">
              <w:rPr>
                <w:rFonts w:ascii="Georgia" w:hAnsi="Georgia" w:cs="Arial"/>
                <w:sz w:val="21"/>
                <w:szCs w:val="21"/>
              </w:rPr>
              <w:t>2</w:t>
            </w:r>
            <w:r>
              <w:rPr>
                <w:rFonts w:ascii="Georgia" w:hAnsi="Georgia" w:cs="Arial"/>
                <w:sz w:val="21"/>
                <w:szCs w:val="21"/>
              </w:rPr>
              <w:t>%</w:t>
            </w:r>
          </w:p>
        </w:tc>
      </w:tr>
      <w:tr w:rsidR="00AB0543" w:rsidRPr="00A43129" w:rsidTr="00AB0543">
        <w:trPr>
          <w:trHeight w:val="530"/>
        </w:trPr>
        <w:tc>
          <w:tcPr>
            <w:tcW w:w="1980" w:type="dxa"/>
            <w:tcBorders>
              <w:top w:val="nil"/>
              <w:left w:val="single" w:sz="8" w:space="0" w:color="auto"/>
              <w:bottom w:val="single" w:sz="4" w:space="0" w:color="auto"/>
              <w:right w:val="single" w:sz="4" w:space="0" w:color="auto"/>
            </w:tcBorders>
            <w:shd w:val="clear" w:color="auto" w:fill="auto"/>
            <w:noWrap/>
            <w:vAlign w:val="bottom"/>
          </w:tcPr>
          <w:p w:rsidR="00AB0543" w:rsidRPr="00A43129" w:rsidRDefault="00AB0543" w:rsidP="00AB4D6C">
            <w:pPr>
              <w:rPr>
                <w:rFonts w:ascii="Georgia" w:hAnsi="Georgia" w:cs="Arial"/>
                <w:sz w:val="21"/>
                <w:szCs w:val="21"/>
              </w:rPr>
            </w:pPr>
            <w:r w:rsidRPr="00A43129">
              <w:rPr>
                <w:rFonts w:ascii="Georgia" w:hAnsi="Georgia" w:cs="Arial"/>
                <w:sz w:val="21"/>
                <w:szCs w:val="21"/>
              </w:rPr>
              <w:t>Global vehicle manufacturers</w:t>
            </w:r>
          </w:p>
        </w:tc>
        <w:tc>
          <w:tcPr>
            <w:tcW w:w="1620" w:type="dxa"/>
            <w:tcBorders>
              <w:top w:val="nil"/>
              <w:left w:val="nil"/>
              <w:bottom w:val="single" w:sz="4" w:space="0" w:color="auto"/>
              <w:right w:val="single" w:sz="4" w:space="0" w:color="auto"/>
            </w:tcBorders>
            <w:shd w:val="clear" w:color="auto" w:fill="auto"/>
            <w:noWrap/>
            <w:vAlign w:val="bottom"/>
          </w:tcPr>
          <w:p w:rsidR="00AB0543" w:rsidRPr="00A43129" w:rsidRDefault="00AB0543" w:rsidP="00AB4D6C">
            <w:pPr>
              <w:rPr>
                <w:rFonts w:ascii="Georgia" w:hAnsi="Georgia" w:cs="Arial"/>
                <w:sz w:val="21"/>
                <w:szCs w:val="21"/>
              </w:rPr>
            </w:pPr>
            <w:r w:rsidRPr="00A43129">
              <w:rPr>
                <w:rFonts w:ascii="Georgia" w:hAnsi="Georgia" w:cs="Arial"/>
                <w:sz w:val="21"/>
                <w:szCs w:val="21"/>
              </w:rPr>
              <w:t>One-year</w:t>
            </w:r>
          </w:p>
        </w:tc>
        <w:tc>
          <w:tcPr>
            <w:tcW w:w="1620" w:type="dxa"/>
            <w:tcBorders>
              <w:top w:val="nil"/>
              <w:left w:val="nil"/>
              <w:bottom w:val="single" w:sz="4" w:space="0" w:color="auto"/>
              <w:right w:val="single" w:sz="4" w:space="0" w:color="auto"/>
            </w:tcBorders>
            <w:shd w:val="clear" w:color="auto" w:fill="auto"/>
            <w:noWrap/>
            <w:vAlign w:val="bottom"/>
          </w:tcPr>
          <w:p w:rsidR="00AB0543" w:rsidRPr="00A43129" w:rsidRDefault="00AB0543" w:rsidP="00AB4D6C">
            <w:pPr>
              <w:rPr>
                <w:rFonts w:ascii="Georgia" w:hAnsi="Georgia" w:cs="Arial"/>
                <w:sz w:val="21"/>
                <w:szCs w:val="21"/>
              </w:rPr>
            </w:pPr>
            <w:r>
              <w:rPr>
                <w:rFonts w:ascii="Georgia" w:hAnsi="Georgia" w:cs="Arial"/>
                <w:sz w:val="21"/>
                <w:szCs w:val="21"/>
              </w:rPr>
              <w:t>Volkswagen AG</w:t>
            </w:r>
          </w:p>
        </w:tc>
        <w:tc>
          <w:tcPr>
            <w:tcW w:w="1170" w:type="dxa"/>
            <w:tcBorders>
              <w:top w:val="nil"/>
              <w:left w:val="nil"/>
              <w:bottom w:val="single" w:sz="4" w:space="0" w:color="auto"/>
              <w:right w:val="single" w:sz="4" w:space="0" w:color="auto"/>
            </w:tcBorders>
            <w:vAlign w:val="bottom"/>
          </w:tcPr>
          <w:p w:rsidR="00AB0543" w:rsidRDefault="00AB0543">
            <w:pPr>
              <w:rPr>
                <w:rFonts w:ascii="Georgia" w:hAnsi="Georgia" w:cs="Arial"/>
                <w:sz w:val="21"/>
                <w:szCs w:val="21"/>
              </w:rPr>
            </w:pPr>
            <w:r>
              <w:rPr>
                <w:rFonts w:ascii="Georgia" w:hAnsi="Georgia" w:cs="Arial"/>
                <w:sz w:val="21"/>
                <w:szCs w:val="21"/>
              </w:rPr>
              <w:t>Germany</w:t>
            </w:r>
          </w:p>
        </w:tc>
        <w:tc>
          <w:tcPr>
            <w:tcW w:w="1080" w:type="dxa"/>
            <w:tcBorders>
              <w:top w:val="single" w:sz="4" w:space="0" w:color="auto"/>
              <w:left w:val="single" w:sz="4" w:space="0" w:color="auto"/>
              <w:bottom w:val="single" w:sz="4" w:space="0" w:color="auto"/>
              <w:right w:val="single" w:sz="4" w:space="0" w:color="auto"/>
            </w:tcBorders>
            <w:vAlign w:val="bottom"/>
          </w:tcPr>
          <w:p w:rsidR="00AB0543" w:rsidRPr="00A43129" w:rsidRDefault="00AB0543" w:rsidP="005135B5">
            <w:pPr>
              <w:jc w:val="right"/>
              <w:rPr>
                <w:rFonts w:ascii="Georgia" w:hAnsi="Georgia" w:cs="Arial"/>
                <w:sz w:val="21"/>
                <w:szCs w:val="21"/>
              </w:rPr>
            </w:pPr>
            <w:r>
              <w:rPr>
                <w:rFonts w:ascii="Georgia" w:hAnsi="Georgia" w:cs="Arial"/>
                <w:sz w:val="21"/>
                <w:szCs w:val="21"/>
              </w:rPr>
              <w:t>+64.5%</w:t>
            </w:r>
          </w:p>
        </w:tc>
        <w:tc>
          <w:tcPr>
            <w:tcW w:w="1800" w:type="dxa"/>
            <w:tcBorders>
              <w:top w:val="single" w:sz="4" w:space="0" w:color="auto"/>
              <w:left w:val="single" w:sz="4" w:space="0" w:color="auto"/>
              <w:bottom w:val="single" w:sz="4" w:space="0" w:color="auto"/>
              <w:right w:val="single" w:sz="4" w:space="0" w:color="auto"/>
            </w:tcBorders>
            <w:vAlign w:val="bottom"/>
          </w:tcPr>
          <w:p w:rsidR="00AB0543" w:rsidRPr="00A43129" w:rsidRDefault="00AB0543" w:rsidP="00523A46">
            <w:pPr>
              <w:jc w:val="right"/>
              <w:rPr>
                <w:rFonts w:ascii="Georgia" w:hAnsi="Georgia" w:cs="Arial"/>
                <w:sz w:val="21"/>
                <w:szCs w:val="21"/>
              </w:rPr>
            </w:pPr>
            <w:r>
              <w:rPr>
                <w:rFonts w:ascii="Georgia" w:hAnsi="Georgia" w:cs="Arial"/>
                <w:sz w:val="21"/>
                <w:szCs w:val="21"/>
              </w:rPr>
              <w:t>+33.</w:t>
            </w:r>
            <w:r w:rsidR="00523A46">
              <w:rPr>
                <w:rFonts w:ascii="Georgia" w:hAnsi="Georgia" w:cs="Arial"/>
                <w:sz w:val="21"/>
                <w:szCs w:val="21"/>
              </w:rPr>
              <w:t>7</w:t>
            </w:r>
            <w:r>
              <w:rPr>
                <w:rFonts w:ascii="Georgia" w:hAnsi="Georgia" w:cs="Arial"/>
                <w:sz w:val="21"/>
                <w:szCs w:val="21"/>
              </w:rPr>
              <w:t>%</w:t>
            </w:r>
          </w:p>
        </w:tc>
      </w:tr>
      <w:tr w:rsidR="00AB0543" w:rsidRPr="00A43129" w:rsidTr="00AB0543">
        <w:trPr>
          <w:trHeight w:val="530"/>
        </w:trPr>
        <w:tc>
          <w:tcPr>
            <w:tcW w:w="1980" w:type="dxa"/>
            <w:tcBorders>
              <w:top w:val="nil"/>
              <w:left w:val="single" w:sz="8" w:space="0" w:color="auto"/>
              <w:bottom w:val="single" w:sz="4" w:space="0" w:color="auto"/>
              <w:right w:val="single" w:sz="4" w:space="0" w:color="auto"/>
            </w:tcBorders>
            <w:shd w:val="clear" w:color="auto" w:fill="auto"/>
            <w:noWrap/>
            <w:vAlign w:val="bottom"/>
          </w:tcPr>
          <w:p w:rsidR="00AB0543" w:rsidRPr="00A43129" w:rsidRDefault="00AB0543" w:rsidP="00AB4D6C">
            <w:pPr>
              <w:rPr>
                <w:rFonts w:ascii="Georgia" w:hAnsi="Georgia" w:cs="Arial"/>
                <w:sz w:val="21"/>
                <w:szCs w:val="21"/>
              </w:rPr>
            </w:pPr>
            <w:r w:rsidRPr="00A43129">
              <w:rPr>
                <w:rFonts w:ascii="Georgia" w:hAnsi="Georgia" w:cs="Arial"/>
                <w:sz w:val="21"/>
                <w:szCs w:val="21"/>
              </w:rPr>
              <w:t>Global automotive suppliers</w:t>
            </w:r>
          </w:p>
        </w:tc>
        <w:tc>
          <w:tcPr>
            <w:tcW w:w="1620" w:type="dxa"/>
            <w:tcBorders>
              <w:top w:val="nil"/>
              <w:left w:val="nil"/>
              <w:bottom w:val="single" w:sz="4" w:space="0" w:color="auto"/>
              <w:right w:val="single" w:sz="4" w:space="0" w:color="auto"/>
            </w:tcBorders>
            <w:shd w:val="clear" w:color="auto" w:fill="auto"/>
            <w:noWrap/>
            <w:vAlign w:val="bottom"/>
          </w:tcPr>
          <w:p w:rsidR="00AB0543" w:rsidRPr="00A43129" w:rsidRDefault="00AB0543" w:rsidP="00AB4D6C">
            <w:pPr>
              <w:rPr>
                <w:rFonts w:ascii="Georgia" w:hAnsi="Georgia" w:cs="Arial"/>
                <w:sz w:val="21"/>
                <w:szCs w:val="21"/>
              </w:rPr>
            </w:pPr>
            <w:r w:rsidRPr="00A43129">
              <w:rPr>
                <w:rFonts w:ascii="Georgia" w:hAnsi="Georgia" w:cs="Arial"/>
                <w:sz w:val="21"/>
                <w:szCs w:val="21"/>
              </w:rPr>
              <w:t>Three-year</w:t>
            </w:r>
          </w:p>
        </w:tc>
        <w:tc>
          <w:tcPr>
            <w:tcW w:w="1620" w:type="dxa"/>
            <w:tcBorders>
              <w:top w:val="nil"/>
              <w:left w:val="nil"/>
              <w:bottom w:val="single" w:sz="4" w:space="0" w:color="auto"/>
              <w:right w:val="single" w:sz="4" w:space="0" w:color="auto"/>
            </w:tcBorders>
            <w:shd w:val="clear" w:color="auto" w:fill="auto"/>
            <w:noWrap/>
            <w:vAlign w:val="bottom"/>
          </w:tcPr>
          <w:p w:rsidR="00AB0543" w:rsidRPr="00A43129" w:rsidRDefault="00AB0543" w:rsidP="00AB4D6C">
            <w:pPr>
              <w:rPr>
                <w:rFonts w:ascii="Georgia" w:hAnsi="Georgia" w:cs="Arial"/>
                <w:sz w:val="21"/>
                <w:szCs w:val="21"/>
              </w:rPr>
            </w:pPr>
            <w:r>
              <w:rPr>
                <w:rFonts w:ascii="Georgia" w:hAnsi="Georgia" w:cs="Arial"/>
                <w:sz w:val="21"/>
                <w:szCs w:val="21"/>
              </w:rPr>
              <w:t>Plastic Omnium</w:t>
            </w:r>
          </w:p>
        </w:tc>
        <w:tc>
          <w:tcPr>
            <w:tcW w:w="1170" w:type="dxa"/>
            <w:tcBorders>
              <w:top w:val="nil"/>
              <w:left w:val="nil"/>
              <w:bottom w:val="single" w:sz="4" w:space="0" w:color="auto"/>
              <w:right w:val="single" w:sz="4" w:space="0" w:color="auto"/>
            </w:tcBorders>
            <w:vAlign w:val="bottom"/>
          </w:tcPr>
          <w:p w:rsidR="00AB0543" w:rsidRDefault="00AB0543">
            <w:pPr>
              <w:rPr>
                <w:rFonts w:ascii="Georgia" w:hAnsi="Georgia" w:cs="Arial"/>
                <w:sz w:val="21"/>
                <w:szCs w:val="21"/>
              </w:rPr>
            </w:pPr>
            <w:r>
              <w:rPr>
                <w:rFonts w:ascii="Georgia" w:hAnsi="Georgia" w:cs="Arial"/>
                <w:sz w:val="21"/>
                <w:szCs w:val="21"/>
              </w:rPr>
              <w:t>France</w:t>
            </w:r>
          </w:p>
        </w:tc>
        <w:tc>
          <w:tcPr>
            <w:tcW w:w="1080" w:type="dxa"/>
            <w:tcBorders>
              <w:top w:val="single" w:sz="4" w:space="0" w:color="auto"/>
              <w:left w:val="single" w:sz="4" w:space="0" w:color="auto"/>
              <w:bottom w:val="single" w:sz="4" w:space="0" w:color="auto"/>
              <w:right w:val="single" w:sz="4" w:space="0" w:color="auto"/>
            </w:tcBorders>
            <w:vAlign w:val="bottom"/>
          </w:tcPr>
          <w:p w:rsidR="00AB0543" w:rsidRPr="00A43129" w:rsidRDefault="00AB0543" w:rsidP="00AB4D6C">
            <w:pPr>
              <w:jc w:val="right"/>
              <w:rPr>
                <w:rFonts w:ascii="Georgia" w:hAnsi="Georgia" w:cs="Arial"/>
                <w:sz w:val="21"/>
                <w:szCs w:val="21"/>
              </w:rPr>
            </w:pPr>
            <w:r>
              <w:rPr>
                <w:rFonts w:ascii="Georgia" w:hAnsi="Georgia" w:cs="Arial"/>
                <w:sz w:val="21"/>
                <w:szCs w:val="21"/>
              </w:rPr>
              <w:t>+256.5%</w:t>
            </w:r>
          </w:p>
        </w:tc>
        <w:tc>
          <w:tcPr>
            <w:tcW w:w="1800" w:type="dxa"/>
            <w:tcBorders>
              <w:top w:val="single" w:sz="4" w:space="0" w:color="auto"/>
              <w:left w:val="single" w:sz="4" w:space="0" w:color="auto"/>
              <w:bottom w:val="single" w:sz="4" w:space="0" w:color="auto"/>
              <w:right w:val="single" w:sz="4" w:space="0" w:color="auto"/>
            </w:tcBorders>
            <w:vAlign w:val="bottom"/>
          </w:tcPr>
          <w:p w:rsidR="00AB0543" w:rsidRPr="00A43129" w:rsidRDefault="00AB0543" w:rsidP="0056525E">
            <w:pPr>
              <w:jc w:val="right"/>
              <w:rPr>
                <w:rFonts w:ascii="Georgia" w:hAnsi="Georgia" w:cs="Arial"/>
                <w:sz w:val="21"/>
                <w:szCs w:val="21"/>
              </w:rPr>
            </w:pPr>
            <w:r>
              <w:rPr>
                <w:rFonts w:ascii="Georgia" w:hAnsi="Georgia" w:cs="Arial"/>
                <w:sz w:val="21"/>
                <w:szCs w:val="21"/>
              </w:rPr>
              <w:t>+</w:t>
            </w:r>
            <w:r w:rsidR="0056525E">
              <w:rPr>
                <w:rFonts w:ascii="Georgia" w:hAnsi="Georgia" w:cs="Arial"/>
                <w:sz w:val="21"/>
                <w:szCs w:val="21"/>
              </w:rPr>
              <w:t>43</w:t>
            </w:r>
            <w:r>
              <w:rPr>
                <w:rFonts w:ascii="Georgia" w:hAnsi="Georgia" w:cs="Arial"/>
                <w:sz w:val="21"/>
                <w:szCs w:val="21"/>
              </w:rPr>
              <w:t>.</w:t>
            </w:r>
            <w:r w:rsidR="0056525E">
              <w:rPr>
                <w:rFonts w:ascii="Georgia" w:hAnsi="Georgia" w:cs="Arial"/>
                <w:sz w:val="21"/>
                <w:szCs w:val="21"/>
              </w:rPr>
              <w:t>3</w:t>
            </w:r>
            <w:r>
              <w:rPr>
                <w:rFonts w:ascii="Georgia" w:hAnsi="Georgia" w:cs="Arial"/>
                <w:sz w:val="21"/>
                <w:szCs w:val="21"/>
              </w:rPr>
              <w:t>%</w:t>
            </w:r>
          </w:p>
        </w:tc>
      </w:tr>
      <w:tr w:rsidR="00AB0543" w:rsidRPr="00A43129" w:rsidTr="00AB0543">
        <w:trPr>
          <w:trHeight w:val="255"/>
        </w:trPr>
        <w:tc>
          <w:tcPr>
            <w:tcW w:w="1980" w:type="dxa"/>
            <w:tcBorders>
              <w:top w:val="nil"/>
              <w:left w:val="single" w:sz="8" w:space="0" w:color="auto"/>
              <w:bottom w:val="single" w:sz="4" w:space="0" w:color="auto"/>
              <w:right w:val="single" w:sz="4" w:space="0" w:color="auto"/>
            </w:tcBorders>
            <w:shd w:val="clear" w:color="auto" w:fill="auto"/>
            <w:noWrap/>
            <w:vAlign w:val="bottom"/>
          </w:tcPr>
          <w:p w:rsidR="00AB0543" w:rsidRPr="00A43129" w:rsidRDefault="00AB0543" w:rsidP="00AB4D6C">
            <w:pPr>
              <w:rPr>
                <w:rFonts w:ascii="Georgia" w:hAnsi="Georgia" w:cs="Arial"/>
                <w:sz w:val="21"/>
                <w:szCs w:val="21"/>
              </w:rPr>
            </w:pPr>
            <w:r w:rsidRPr="00A43129">
              <w:rPr>
                <w:rFonts w:ascii="Georgia" w:hAnsi="Georgia" w:cs="Arial"/>
                <w:sz w:val="21"/>
                <w:szCs w:val="21"/>
              </w:rPr>
              <w:t>Global automotive suppliers</w:t>
            </w:r>
          </w:p>
        </w:tc>
        <w:tc>
          <w:tcPr>
            <w:tcW w:w="1620" w:type="dxa"/>
            <w:tcBorders>
              <w:top w:val="nil"/>
              <w:left w:val="nil"/>
              <w:bottom w:val="single" w:sz="4" w:space="0" w:color="auto"/>
              <w:right w:val="single" w:sz="4" w:space="0" w:color="auto"/>
            </w:tcBorders>
            <w:shd w:val="clear" w:color="auto" w:fill="auto"/>
            <w:noWrap/>
            <w:vAlign w:val="bottom"/>
          </w:tcPr>
          <w:p w:rsidR="00AB0543" w:rsidRPr="00A43129" w:rsidRDefault="00AB0543" w:rsidP="00AB4D6C">
            <w:pPr>
              <w:rPr>
                <w:rFonts w:ascii="Georgia" w:hAnsi="Georgia" w:cs="Arial"/>
                <w:sz w:val="21"/>
                <w:szCs w:val="21"/>
              </w:rPr>
            </w:pPr>
            <w:r>
              <w:rPr>
                <w:rFonts w:ascii="Georgia" w:hAnsi="Georgia" w:cs="Arial"/>
                <w:sz w:val="21"/>
                <w:szCs w:val="21"/>
              </w:rPr>
              <w:t>On</w:t>
            </w:r>
            <w:r w:rsidRPr="00A43129">
              <w:rPr>
                <w:rFonts w:ascii="Georgia" w:hAnsi="Georgia" w:cs="Arial"/>
                <w:sz w:val="21"/>
                <w:szCs w:val="21"/>
              </w:rPr>
              <w:t>e-year</w:t>
            </w:r>
          </w:p>
        </w:tc>
        <w:tc>
          <w:tcPr>
            <w:tcW w:w="1620" w:type="dxa"/>
            <w:tcBorders>
              <w:top w:val="nil"/>
              <w:left w:val="nil"/>
              <w:bottom w:val="single" w:sz="4" w:space="0" w:color="auto"/>
              <w:right w:val="single" w:sz="4" w:space="0" w:color="auto"/>
            </w:tcBorders>
            <w:shd w:val="clear" w:color="auto" w:fill="auto"/>
            <w:noWrap/>
            <w:vAlign w:val="bottom"/>
          </w:tcPr>
          <w:p w:rsidR="00AB0543" w:rsidRPr="00A43129" w:rsidRDefault="00AB0543" w:rsidP="00AB0543">
            <w:pPr>
              <w:rPr>
                <w:rFonts w:ascii="Georgia" w:hAnsi="Georgia" w:cs="Arial"/>
                <w:sz w:val="21"/>
                <w:szCs w:val="21"/>
              </w:rPr>
            </w:pPr>
            <w:r>
              <w:rPr>
                <w:rFonts w:ascii="Georgia" w:hAnsi="Georgia" w:cs="Arial"/>
                <w:sz w:val="21"/>
                <w:szCs w:val="21"/>
              </w:rPr>
              <w:t>Continental AG</w:t>
            </w:r>
          </w:p>
        </w:tc>
        <w:tc>
          <w:tcPr>
            <w:tcW w:w="1170" w:type="dxa"/>
            <w:tcBorders>
              <w:top w:val="nil"/>
              <w:left w:val="nil"/>
              <w:bottom w:val="single" w:sz="4" w:space="0" w:color="auto"/>
              <w:right w:val="single" w:sz="4" w:space="0" w:color="auto"/>
            </w:tcBorders>
            <w:vAlign w:val="bottom"/>
          </w:tcPr>
          <w:p w:rsidR="00AB0543" w:rsidRDefault="00AB0543" w:rsidP="00AB0543">
            <w:pPr>
              <w:rPr>
                <w:rFonts w:ascii="Georgia" w:hAnsi="Georgia" w:cs="Arial"/>
                <w:sz w:val="21"/>
                <w:szCs w:val="21"/>
              </w:rPr>
            </w:pPr>
            <w:r>
              <w:rPr>
                <w:rFonts w:ascii="Georgia" w:hAnsi="Georgia" w:cs="Arial"/>
                <w:sz w:val="21"/>
                <w:szCs w:val="21"/>
              </w:rPr>
              <w:t>Germany</w:t>
            </w:r>
          </w:p>
        </w:tc>
        <w:tc>
          <w:tcPr>
            <w:tcW w:w="1080" w:type="dxa"/>
            <w:tcBorders>
              <w:top w:val="single" w:sz="4" w:space="0" w:color="auto"/>
              <w:left w:val="single" w:sz="4" w:space="0" w:color="auto"/>
              <w:bottom w:val="single" w:sz="4" w:space="0" w:color="auto"/>
              <w:right w:val="single" w:sz="4" w:space="0" w:color="auto"/>
            </w:tcBorders>
            <w:vAlign w:val="bottom"/>
          </w:tcPr>
          <w:p w:rsidR="00AB0543" w:rsidRPr="00A43129" w:rsidRDefault="00AB0543" w:rsidP="005135B5">
            <w:pPr>
              <w:jc w:val="right"/>
              <w:rPr>
                <w:rFonts w:ascii="Georgia" w:hAnsi="Georgia" w:cs="Arial"/>
                <w:sz w:val="21"/>
                <w:szCs w:val="21"/>
              </w:rPr>
            </w:pPr>
            <w:r>
              <w:rPr>
                <w:rFonts w:ascii="Georgia" w:hAnsi="Georgia" w:cs="Arial"/>
                <w:sz w:val="21"/>
                <w:szCs w:val="21"/>
              </w:rPr>
              <w:t>89.7%</w:t>
            </w:r>
          </w:p>
        </w:tc>
        <w:tc>
          <w:tcPr>
            <w:tcW w:w="1800" w:type="dxa"/>
            <w:tcBorders>
              <w:top w:val="single" w:sz="4" w:space="0" w:color="auto"/>
              <w:left w:val="single" w:sz="4" w:space="0" w:color="auto"/>
              <w:bottom w:val="single" w:sz="4" w:space="0" w:color="auto"/>
              <w:right w:val="single" w:sz="4" w:space="0" w:color="auto"/>
            </w:tcBorders>
            <w:vAlign w:val="bottom"/>
          </w:tcPr>
          <w:p w:rsidR="00AB0543" w:rsidRPr="00A43129" w:rsidRDefault="00AB0543" w:rsidP="0056525E">
            <w:pPr>
              <w:jc w:val="right"/>
              <w:rPr>
                <w:rFonts w:ascii="Georgia" w:hAnsi="Georgia" w:cs="Arial"/>
                <w:sz w:val="21"/>
                <w:szCs w:val="21"/>
              </w:rPr>
            </w:pPr>
            <w:r>
              <w:rPr>
                <w:rFonts w:ascii="Georgia" w:hAnsi="Georgia" w:cs="Arial"/>
                <w:sz w:val="21"/>
                <w:szCs w:val="21"/>
              </w:rPr>
              <w:t>+23.</w:t>
            </w:r>
            <w:r w:rsidR="0056525E">
              <w:rPr>
                <w:rFonts w:ascii="Georgia" w:hAnsi="Georgia" w:cs="Arial"/>
                <w:sz w:val="21"/>
                <w:szCs w:val="21"/>
              </w:rPr>
              <w:t>6</w:t>
            </w:r>
            <w:r>
              <w:rPr>
                <w:rFonts w:ascii="Georgia" w:hAnsi="Georgia" w:cs="Arial"/>
                <w:sz w:val="21"/>
                <w:szCs w:val="21"/>
              </w:rPr>
              <w:t>%</w:t>
            </w:r>
          </w:p>
        </w:tc>
      </w:tr>
      <w:tr w:rsidR="00AB0543" w:rsidRPr="00A43129" w:rsidTr="00AB0543">
        <w:trPr>
          <w:trHeight w:val="255"/>
        </w:trPr>
        <w:tc>
          <w:tcPr>
            <w:tcW w:w="1980" w:type="dxa"/>
            <w:tcBorders>
              <w:top w:val="nil"/>
              <w:left w:val="single" w:sz="8" w:space="0" w:color="auto"/>
              <w:bottom w:val="single" w:sz="4" w:space="0" w:color="auto"/>
              <w:right w:val="single" w:sz="4" w:space="0" w:color="auto"/>
            </w:tcBorders>
            <w:shd w:val="clear" w:color="auto" w:fill="auto"/>
            <w:noWrap/>
            <w:vAlign w:val="bottom"/>
          </w:tcPr>
          <w:p w:rsidR="00AB0543" w:rsidRPr="00A43129" w:rsidRDefault="00AB0543" w:rsidP="00AB4D6C">
            <w:pPr>
              <w:rPr>
                <w:rFonts w:ascii="Georgia" w:hAnsi="Georgia" w:cs="Arial"/>
                <w:sz w:val="21"/>
                <w:szCs w:val="21"/>
              </w:rPr>
            </w:pPr>
            <w:r w:rsidRPr="00A43129">
              <w:rPr>
                <w:rFonts w:ascii="Georgia" w:hAnsi="Georgia" w:cs="Arial"/>
                <w:sz w:val="21"/>
                <w:szCs w:val="21"/>
              </w:rPr>
              <w:t>U.S. automotive retailers</w:t>
            </w:r>
          </w:p>
        </w:tc>
        <w:tc>
          <w:tcPr>
            <w:tcW w:w="1620" w:type="dxa"/>
            <w:tcBorders>
              <w:top w:val="nil"/>
              <w:left w:val="nil"/>
              <w:bottom w:val="single" w:sz="4" w:space="0" w:color="auto"/>
              <w:right w:val="single" w:sz="4" w:space="0" w:color="auto"/>
            </w:tcBorders>
            <w:shd w:val="clear" w:color="auto" w:fill="auto"/>
            <w:noWrap/>
            <w:vAlign w:val="bottom"/>
          </w:tcPr>
          <w:p w:rsidR="00AB0543" w:rsidRPr="00A43129" w:rsidRDefault="00AB0543" w:rsidP="00AB4D6C">
            <w:pPr>
              <w:rPr>
                <w:rFonts w:ascii="Georgia" w:hAnsi="Georgia" w:cs="Arial"/>
                <w:sz w:val="21"/>
                <w:szCs w:val="21"/>
              </w:rPr>
            </w:pPr>
            <w:r w:rsidRPr="00A43129">
              <w:rPr>
                <w:rFonts w:ascii="Georgia" w:hAnsi="Georgia" w:cs="Arial"/>
                <w:sz w:val="21"/>
                <w:szCs w:val="21"/>
              </w:rPr>
              <w:t>Three-year</w:t>
            </w:r>
          </w:p>
        </w:tc>
        <w:tc>
          <w:tcPr>
            <w:tcW w:w="1620" w:type="dxa"/>
            <w:tcBorders>
              <w:top w:val="nil"/>
              <w:left w:val="nil"/>
              <w:bottom w:val="single" w:sz="4" w:space="0" w:color="auto"/>
              <w:right w:val="single" w:sz="4" w:space="0" w:color="auto"/>
            </w:tcBorders>
            <w:shd w:val="clear" w:color="auto" w:fill="auto"/>
            <w:noWrap/>
            <w:vAlign w:val="bottom"/>
          </w:tcPr>
          <w:p w:rsidR="00AB0543" w:rsidRPr="00A43129" w:rsidRDefault="00AB0543" w:rsidP="00AB4D6C">
            <w:pPr>
              <w:rPr>
                <w:rFonts w:ascii="Georgia" w:hAnsi="Georgia" w:cs="Arial"/>
                <w:sz w:val="21"/>
                <w:szCs w:val="21"/>
              </w:rPr>
            </w:pPr>
            <w:r w:rsidRPr="00A43129">
              <w:rPr>
                <w:rFonts w:ascii="Georgia" w:hAnsi="Georgia" w:cs="Arial"/>
                <w:sz w:val="21"/>
                <w:szCs w:val="21"/>
              </w:rPr>
              <w:t>Lithia Motors</w:t>
            </w:r>
            <w:r>
              <w:rPr>
                <w:rFonts w:ascii="Georgia" w:hAnsi="Georgia" w:cs="Arial"/>
                <w:sz w:val="21"/>
                <w:szCs w:val="21"/>
              </w:rPr>
              <w:t>, Inc.</w:t>
            </w:r>
          </w:p>
        </w:tc>
        <w:tc>
          <w:tcPr>
            <w:tcW w:w="1170" w:type="dxa"/>
            <w:tcBorders>
              <w:top w:val="nil"/>
              <w:left w:val="nil"/>
              <w:bottom w:val="single" w:sz="4" w:space="0" w:color="auto"/>
              <w:right w:val="single" w:sz="4" w:space="0" w:color="auto"/>
            </w:tcBorders>
            <w:vAlign w:val="bottom"/>
          </w:tcPr>
          <w:p w:rsidR="00AB0543" w:rsidRDefault="00AB0543">
            <w:pPr>
              <w:rPr>
                <w:rFonts w:ascii="Georgia" w:hAnsi="Georgia" w:cs="Arial"/>
                <w:sz w:val="21"/>
                <w:szCs w:val="21"/>
              </w:rPr>
            </w:pPr>
            <w:r w:rsidRPr="00A43129">
              <w:rPr>
                <w:rFonts w:ascii="Georgia" w:hAnsi="Georgia" w:cs="Arial"/>
                <w:sz w:val="21"/>
                <w:szCs w:val="21"/>
              </w:rPr>
              <w:t>U.S.A.</w:t>
            </w:r>
          </w:p>
        </w:tc>
        <w:tc>
          <w:tcPr>
            <w:tcW w:w="1080" w:type="dxa"/>
            <w:tcBorders>
              <w:top w:val="single" w:sz="4" w:space="0" w:color="auto"/>
              <w:left w:val="single" w:sz="4" w:space="0" w:color="auto"/>
              <w:bottom w:val="single" w:sz="4" w:space="0" w:color="auto"/>
              <w:right w:val="single" w:sz="4" w:space="0" w:color="auto"/>
            </w:tcBorders>
            <w:vAlign w:val="bottom"/>
          </w:tcPr>
          <w:p w:rsidR="00AB0543" w:rsidRPr="00A43129" w:rsidRDefault="00AB0543" w:rsidP="00AB4D6C">
            <w:pPr>
              <w:jc w:val="right"/>
              <w:rPr>
                <w:rFonts w:ascii="Georgia" w:hAnsi="Georgia" w:cs="Arial"/>
                <w:sz w:val="21"/>
                <w:szCs w:val="21"/>
              </w:rPr>
            </w:pPr>
            <w:r>
              <w:rPr>
                <w:rFonts w:ascii="Georgia" w:hAnsi="Georgia" w:cs="Arial"/>
                <w:sz w:val="21"/>
                <w:szCs w:val="21"/>
              </w:rPr>
              <w:t>+377.1%</w:t>
            </w:r>
          </w:p>
        </w:tc>
        <w:tc>
          <w:tcPr>
            <w:tcW w:w="1800" w:type="dxa"/>
            <w:tcBorders>
              <w:top w:val="single" w:sz="4" w:space="0" w:color="auto"/>
              <w:left w:val="single" w:sz="4" w:space="0" w:color="auto"/>
              <w:bottom w:val="single" w:sz="4" w:space="0" w:color="auto"/>
              <w:right w:val="single" w:sz="4" w:space="0" w:color="auto"/>
            </w:tcBorders>
            <w:vAlign w:val="bottom"/>
          </w:tcPr>
          <w:p w:rsidR="00AB0543" w:rsidRPr="00A43129" w:rsidRDefault="00AB0543" w:rsidP="0056525E">
            <w:pPr>
              <w:jc w:val="right"/>
              <w:rPr>
                <w:rFonts w:ascii="Georgia" w:hAnsi="Georgia" w:cs="Arial"/>
                <w:sz w:val="21"/>
                <w:szCs w:val="21"/>
              </w:rPr>
            </w:pPr>
            <w:r>
              <w:rPr>
                <w:rFonts w:ascii="Georgia" w:hAnsi="Georgia" w:cs="Arial"/>
                <w:sz w:val="21"/>
                <w:szCs w:val="21"/>
              </w:rPr>
              <w:t>+123.</w:t>
            </w:r>
            <w:r w:rsidR="0056525E">
              <w:rPr>
                <w:rFonts w:ascii="Georgia" w:hAnsi="Georgia" w:cs="Arial"/>
                <w:sz w:val="21"/>
                <w:szCs w:val="21"/>
              </w:rPr>
              <w:t>1</w:t>
            </w:r>
            <w:r>
              <w:rPr>
                <w:rFonts w:ascii="Georgia" w:hAnsi="Georgia" w:cs="Arial"/>
                <w:sz w:val="21"/>
                <w:szCs w:val="21"/>
              </w:rPr>
              <w:t>%</w:t>
            </w:r>
          </w:p>
        </w:tc>
      </w:tr>
      <w:tr w:rsidR="00AB0543" w:rsidRPr="00A43129" w:rsidTr="00AB0543">
        <w:trPr>
          <w:trHeight w:val="270"/>
        </w:trPr>
        <w:tc>
          <w:tcPr>
            <w:tcW w:w="1980" w:type="dxa"/>
            <w:tcBorders>
              <w:top w:val="nil"/>
              <w:left w:val="single" w:sz="8" w:space="0" w:color="auto"/>
              <w:bottom w:val="single" w:sz="8" w:space="0" w:color="auto"/>
              <w:right w:val="single" w:sz="4" w:space="0" w:color="auto"/>
            </w:tcBorders>
            <w:shd w:val="clear" w:color="auto" w:fill="auto"/>
            <w:noWrap/>
            <w:vAlign w:val="bottom"/>
          </w:tcPr>
          <w:p w:rsidR="00AB0543" w:rsidRPr="00A43129" w:rsidRDefault="00AB0543" w:rsidP="00AB4D6C">
            <w:pPr>
              <w:rPr>
                <w:rFonts w:ascii="Georgia" w:hAnsi="Georgia" w:cs="Arial"/>
                <w:sz w:val="21"/>
                <w:szCs w:val="21"/>
              </w:rPr>
            </w:pPr>
            <w:r w:rsidRPr="00A43129">
              <w:rPr>
                <w:rFonts w:ascii="Georgia" w:hAnsi="Georgia" w:cs="Arial"/>
                <w:sz w:val="21"/>
                <w:szCs w:val="21"/>
              </w:rPr>
              <w:t>U.S. automotive retailers</w:t>
            </w:r>
          </w:p>
        </w:tc>
        <w:tc>
          <w:tcPr>
            <w:tcW w:w="1620" w:type="dxa"/>
            <w:tcBorders>
              <w:top w:val="nil"/>
              <w:left w:val="nil"/>
              <w:bottom w:val="single" w:sz="8" w:space="0" w:color="auto"/>
              <w:right w:val="single" w:sz="4" w:space="0" w:color="auto"/>
            </w:tcBorders>
            <w:shd w:val="clear" w:color="auto" w:fill="auto"/>
            <w:noWrap/>
            <w:vAlign w:val="bottom"/>
          </w:tcPr>
          <w:p w:rsidR="00AB0543" w:rsidRPr="00A43129" w:rsidRDefault="00AB0543" w:rsidP="00AB4D6C">
            <w:pPr>
              <w:rPr>
                <w:rFonts w:ascii="Georgia" w:hAnsi="Georgia" w:cs="Arial"/>
                <w:sz w:val="21"/>
                <w:szCs w:val="21"/>
              </w:rPr>
            </w:pPr>
            <w:r>
              <w:rPr>
                <w:rFonts w:ascii="Georgia" w:hAnsi="Georgia" w:cs="Arial"/>
                <w:sz w:val="21"/>
                <w:szCs w:val="21"/>
              </w:rPr>
              <w:t>One</w:t>
            </w:r>
            <w:r w:rsidRPr="00A43129">
              <w:rPr>
                <w:rFonts w:ascii="Georgia" w:hAnsi="Georgia" w:cs="Arial"/>
                <w:sz w:val="21"/>
                <w:szCs w:val="21"/>
              </w:rPr>
              <w:t>-year</w:t>
            </w:r>
          </w:p>
        </w:tc>
        <w:tc>
          <w:tcPr>
            <w:tcW w:w="1620" w:type="dxa"/>
            <w:tcBorders>
              <w:top w:val="nil"/>
              <w:left w:val="nil"/>
              <w:bottom w:val="single" w:sz="8" w:space="0" w:color="auto"/>
              <w:right w:val="single" w:sz="4" w:space="0" w:color="auto"/>
            </w:tcBorders>
            <w:shd w:val="clear" w:color="auto" w:fill="auto"/>
            <w:noWrap/>
            <w:vAlign w:val="bottom"/>
          </w:tcPr>
          <w:p w:rsidR="00AB0543" w:rsidRPr="00A43129" w:rsidRDefault="00AB0543" w:rsidP="00AB4D6C">
            <w:pPr>
              <w:rPr>
                <w:rFonts w:ascii="Georgia" w:hAnsi="Georgia" w:cs="Arial"/>
                <w:sz w:val="21"/>
                <w:szCs w:val="21"/>
              </w:rPr>
            </w:pPr>
            <w:r w:rsidRPr="00A43129">
              <w:rPr>
                <w:rFonts w:ascii="Georgia" w:hAnsi="Georgia" w:cs="Arial"/>
                <w:sz w:val="21"/>
                <w:szCs w:val="21"/>
              </w:rPr>
              <w:t>Lithia Motors</w:t>
            </w:r>
            <w:r>
              <w:rPr>
                <w:rFonts w:ascii="Georgia" w:hAnsi="Georgia" w:cs="Arial"/>
                <w:sz w:val="21"/>
                <w:szCs w:val="21"/>
              </w:rPr>
              <w:t>, Inc.</w:t>
            </w:r>
          </w:p>
        </w:tc>
        <w:tc>
          <w:tcPr>
            <w:tcW w:w="1170" w:type="dxa"/>
            <w:tcBorders>
              <w:top w:val="nil"/>
              <w:left w:val="nil"/>
              <w:bottom w:val="single" w:sz="8" w:space="0" w:color="auto"/>
              <w:right w:val="single" w:sz="4" w:space="0" w:color="auto"/>
            </w:tcBorders>
            <w:vAlign w:val="bottom"/>
          </w:tcPr>
          <w:p w:rsidR="00AB0543" w:rsidRDefault="00AB0543">
            <w:pPr>
              <w:rPr>
                <w:rFonts w:ascii="Georgia" w:hAnsi="Georgia" w:cs="Arial"/>
                <w:sz w:val="21"/>
                <w:szCs w:val="21"/>
              </w:rPr>
            </w:pPr>
            <w:r w:rsidRPr="00A43129">
              <w:rPr>
                <w:rFonts w:ascii="Georgia" w:hAnsi="Georgia" w:cs="Arial"/>
                <w:sz w:val="21"/>
                <w:szCs w:val="21"/>
              </w:rPr>
              <w:t>U.S.A.</w:t>
            </w:r>
          </w:p>
        </w:tc>
        <w:tc>
          <w:tcPr>
            <w:tcW w:w="1080" w:type="dxa"/>
            <w:tcBorders>
              <w:top w:val="single" w:sz="4" w:space="0" w:color="auto"/>
              <w:left w:val="single" w:sz="4" w:space="0" w:color="auto"/>
              <w:bottom w:val="single" w:sz="4" w:space="0" w:color="auto"/>
              <w:right w:val="single" w:sz="4" w:space="0" w:color="auto"/>
            </w:tcBorders>
            <w:vAlign w:val="bottom"/>
          </w:tcPr>
          <w:p w:rsidR="00AB0543" w:rsidRPr="00A43129" w:rsidRDefault="00AB0543" w:rsidP="00AB0543">
            <w:pPr>
              <w:jc w:val="right"/>
              <w:rPr>
                <w:rFonts w:ascii="Georgia" w:hAnsi="Georgia" w:cs="Arial"/>
                <w:sz w:val="21"/>
                <w:szCs w:val="21"/>
              </w:rPr>
            </w:pPr>
            <w:r>
              <w:rPr>
                <w:rFonts w:ascii="Georgia" w:hAnsi="Georgia" w:cs="Arial"/>
                <w:sz w:val="21"/>
                <w:szCs w:val="21"/>
              </w:rPr>
              <w:t>+74.0%</w:t>
            </w:r>
          </w:p>
        </w:tc>
        <w:tc>
          <w:tcPr>
            <w:tcW w:w="1800" w:type="dxa"/>
            <w:tcBorders>
              <w:top w:val="single" w:sz="4" w:space="0" w:color="auto"/>
              <w:left w:val="single" w:sz="4" w:space="0" w:color="auto"/>
              <w:bottom w:val="single" w:sz="4" w:space="0" w:color="auto"/>
              <w:right w:val="single" w:sz="4" w:space="0" w:color="auto"/>
            </w:tcBorders>
            <w:vAlign w:val="bottom"/>
          </w:tcPr>
          <w:p w:rsidR="00AB0543" w:rsidRPr="00A43129" w:rsidRDefault="00AB0543" w:rsidP="00AB0543">
            <w:pPr>
              <w:jc w:val="right"/>
              <w:rPr>
                <w:rFonts w:ascii="Georgia" w:hAnsi="Georgia" w:cs="Arial"/>
                <w:sz w:val="21"/>
                <w:szCs w:val="21"/>
              </w:rPr>
            </w:pPr>
            <w:r>
              <w:rPr>
                <w:rFonts w:ascii="Georgia" w:hAnsi="Georgia" w:cs="Arial"/>
                <w:sz w:val="21"/>
                <w:szCs w:val="21"/>
              </w:rPr>
              <w:t>+28.7%</w:t>
            </w:r>
          </w:p>
        </w:tc>
      </w:tr>
    </w:tbl>
    <w:p w:rsidR="00F84791" w:rsidRPr="003B3B6E" w:rsidRDefault="003B62C7" w:rsidP="003B3B6E">
      <w:pPr>
        <w:ind w:left="720"/>
        <w:jc w:val="center"/>
        <w:rPr>
          <w:rFonts w:ascii="Georgia" w:hAnsi="Georgia" w:cs="Arial"/>
          <w:b/>
          <w:iCs/>
        </w:rPr>
      </w:pPr>
      <w:r>
        <w:rPr>
          <w:rFonts w:ascii="Georgia" w:hAnsi="Georgia" w:cs="Arial"/>
          <w:b/>
          <w:iCs/>
        </w:rPr>
        <w:t>-</w:t>
      </w:r>
      <w:r w:rsidR="003B3B6E" w:rsidRPr="003B3B6E">
        <w:rPr>
          <w:rFonts w:ascii="Georgia" w:hAnsi="Georgia" w:cs="Arial"/>
          <w:b/>
          <w:iCs/>
        </w:rPr>
        <w:t>-more--</w:t>
      </w:r>
    </w:p>
    <w:p w:rsidR="00F84791" w:rsidRPr="00A43129" w:rsidRDefault="00F84791" w:rsidP="00F84791">
      <w:pPr>
        <w:ind w:left="720"/>
        <w:rPr>
          <w:rFonts w:ascii="Georgia" w:hAnsi="Georgia" w:cs="Arial"/>
          <w:i/>
          <w:iCs/>
        </w:rPr>
      </w:pPr>
    </w:p>
    <w:p w:rsidR="00F84791" w:rsidRPr="00A43129" w:rsidRDefault="00F84791" w:rsidP="00A43129">
      <w:pPr>
        <w:ind w:left="360"/>
        <w:rPr>
          <w:rFonts w:ascii="Georgia" w:hAnsi="Georgia" w:cs="Arial"/>
        </w:rPr>
      </w:pPr>
      <w:r w:rsidRPr="00A43129">
        <w:rPr>
          <w:rFonts w:ascii="Georgia" w:hAnsi="Georgia" w:cs="Arial"/>
        </w:rPr>
        <w:t>The PwC</w:t>
      </w:r>
      <w:r w:rsidR="007A3CF8">
        <w:rPr>
          <w:rFonts w:ascii="Georgia" w:hAnsi="Georgia" w:cs="Arial"/>
        </w:rPr>
        <w:t xml:space="preserve"> Shareholder Value Index</w:t>
      </w:r>
      <w:r w:rsidRPr="00A43129">
        <w:rPr>
          <w:rFonts w:ascii="Georgia" w:hAnsi="Georgia" w:cs="Arial"/>
        </w:rPr>
        <w:t xml:space="preserve"> determines a company's performance by taking into account both increases and decreases in a share price, dividends, share buy-backs and new share issues.  The result is one benchmark </w:t>
      </w:r>
      <w:r w:rsidR="00A134AF" w:rsidRPr="00A43129">
        <w:rPr>
          <w:rFonts w:ascii="Georgia" w:hAnsi="Georgia" w:cs="Arial"/>
        </w:rPr>
        <w:t>that measures</w:t>
      </w:r>
      <w:r w:rsidRPr="00A43129">
        <w:rPr>
          <w:rFonts w:ascii="Georgia" w:hAnsi="Georgia" w:cs="Arial"/>
        </w:rPr>
        <w:t xml:space="preserve"> shareholder value for stock market-listed automotive companies.  </w:t>
      </w:r>
    </w:p>
    <w:p w:rsidR="00F84791" w:rsidRPr="00646004" w:rsidRDefault="00F84791" w:rsidP="00A43129">
      <w:pPr>
        <w:ind w:left="360"/>
        <w:rPr>
          <w:rFonts w:ascii="Georgia" w:hAnsi="Georgia" w:cs="Arial"/>
          <w:b/>
          <w:bCs/>
          <w:sz w:val="22"/>
          <w:szCs w:val="22"/>
        </w:rPr>
      </w:pPr>
    </w:p>
    <w:p w:rsidR="00F84791" w:rsidRPr="006018D1" w:rsidRDefault="0092212D" w:rsidP="006D0A84">
      <w:pPr>
        <w:pStyle w:val="BodyText"/>
        <w:ind w:left="360"/>
        <w:rPr>
          <w:rFonts w:cs="Arial"/>
          <w:b w:val="0"/>
          <w:sz w:val="24"/>
          <w:szCs w:val="24"/>
        </w:rPr>
      </w:pPr>
      <w:r w:rsidRPr="0092212D">
        <w:rPr>
          <w:rFonts w:ascii="Georgia" w:hAnsi="Georgia" w:cs="Arial"/>
          <w:b w:val="0"/>
          <w:sz w:val="24"/>
          <w:szCs w:val="24"/>
        </w:rPr>
        <w:t>"It is an honor to recognize the 2012 shareholder value winners," said Rick Hanna, global automotive leader, PwC.  “The returns generated by this year’s winning companies and the overall shareholder value indices are reflective of the strength of the recovery in industry.  The fact that winning vehicle manufacturers and suppliers are European entities demonstrates the truly global nature of the industry.  Congratulations to this year</w:t>
      </w:r>
      <w:r w:rsidR="006018D1">
        <w:rPr>
          <w:rFonts w:ascii="Georgia" w:hAnsi="Georgia" w:cs="Arial"/>
          <w:b w:val="0"/>
          <w:sz w:val="24"/>
          <w:szCs w:val="24"/>
        </w:rPr>
        <w:t>’</w:t>
      </w:r>
      <w:r w:rsidRPr="0092212D">
        <w:rPr>
          <w:rFonts w:ascii="Georgia" w:hAnsi="Georgia" w:cs="Arial"/>
          <w:b w:val="0"/>
          <w:sz w:val="24"/>
          <w:szCs w:val="24"/>
        </w:rPr>
        <w:t xml:space="preserve">s winning companies.” </w:t>
      </w:r>
      <w:r w:rsidRPr="0092212D">
        <w:rPr>
          <w:b w:val="0"/>
          <w:sz w:val="24"/>
          <w:szCs w:val="24"/>
        </w:rPr>
        <w:br/>
      </w:r>
    </w:p>
    <w:p w:rsidR="00F84791" w:rsidRPr="00A43129" w:rsidRDefault="00F84791" w:rsidP="00A43129">
      <w:pPr>
        <w:ind w:left="360"/>
        <w:rPr>
          <w:rFonts w:ascii="Georgia" w:hAnsi="Georgia" w:cs="Arial"/>
        </w:rPr>
      </w:pPr>
      <w:r w:rsidRPr="00A43129">
        <w:rPr>
          <w:rFonts w:ascii="Georgia" w:hAnsi="Georgia" w:cs="Arial"/>
        </w:rPr>
        <w:t xml:space="preserve">Shareholder Value Indices have been reported in </w:t>
      </w:r>
      <w:r w:rsidRPr="00A43129">
        <w:rPr>
          <w:rFonts w:ascii="Georgia" w:hAnsi="Georgia" w:cs="Arial"/>
          <w:i/>
          <w:iCs/>
        </w:rPr>
        <w:t>Automotive News</w:t>
      </w:r>
      <w:r w:rsidRPr="00A43129">
        <w:rPr>
          <w:rFonts w:ascii="Georgia" w:hAnsi="Georgia" w:cs="Arial"/>
        </w:rPr>
        <w:t xml:space="preserve"> on a quarterly basis since January 2000.  The </w:t>
      </w:r>
      <w:r w:rsidR="00DD4EC7" w:rsidRPr="00A43129">
        <w:rPr>
          <w:rFonts w:ascii="Georgia" w:hAnsi="Georgia" w:cs="Arial"/>
        </w:rPr>
        <w:t>20</w:t>
      </w:r>
      <w:r w:rsidR="00DD4EC7">
        <w:rPr>
          <w:rFonts w:ascii="Georgia" w:hAnsi="Georgia" w:cs="Arial"/>
        </w:rPr>
        <w:t>1</w:t>
      </w:r>
      <w:r w:rsidR="002E6D9B">
        <w:rPr>
          <w:rFonts w:ascii="Georgia" w:hAnsi="Georgia" w:cs="Arial"/>
        </w:rPr>
        <w:t>2</w:t>
      </w:r>
      <w:r w:rsidR="00DD4EC7" w:rsidRPr="00A43129">
        <w:rPr>
          <w:rFonts w:ascii="Georgia" w:hAnsi="Georgia" w:cs="Arial"/>
        </w:rPr>
        <w:t xml:space="preserve"> </w:t>
      </w:r>
      <w:r w:rsidRPr="006D0A84">
        <w:rPr>
          <w:rFonts w:ascii="Georgia" w:hAnsi="Georgia" w:cs="Arial"/>
        </w:rPr>
        <w:t xml:space="preserve">complete year-end results and Automotive Shareholder Award winners </w:t>
      </w:r>
      <w:r w:rsidR="007A3CF8" w:rsidRPr="006D0A84">
        <w:rPr>
          <w:rFonts w:ascii="Georgia" w:hAnsi="Georgia" w:cs="Arial"/>
        </w:rPr>
        <w:t>will be</w:t>
      </w:r>
      <w:r w:rsidRPr="006D0A84">
        <w:rPr>
          <w:rFonts w:ascii="Georgia" w:hAnsi="Georgia" w:cs="Arial"/>
        </w:rPr>
        <w:t xml:space="preserve"> announced </w:t>
      </w:r>
      <w:r w:rsidR="007A3CF8" w:rsidRPr="006D0A84">
        <w:rPr>
          <w:rFonts w:ascii="Georgia" w:hAnsi="Georgia" w:cs="Arial"/>
        </w:rPr>
        <w:t>i</w:t>
      </w:r>
      <w:r w:rsidRPr="006D0A84">
        <w:rPr>
          <w:rFonts w:ascii="Georgia" w:hAnsi="Georgia" w:cs="Arial"/>
        </w:rPr>
        <w:t xml:space="preserve">n the January </w:t>
      </w:r>
      <w:r w:rsidR="00DD4EC7" w:rsidRPr="006D0A84">
        <w:rPr>
          <w:rFonts w:ascii="Georgia" w:hAnsi="Georgia" w:cs="Arial"/>
        </w:rPr>
        <w:t>16</w:t>
      </w:r>
      <w:r w:rsidRPr="006D0A84">
        <w:rPr>
          <w:rFonts w:ascii="Georgia" w:hAnsi="Georgia" w:cs="Arial"/>
        </w:rPr>
        <w:t>, 201</w:t>
      </w:r>
      <w:r w:rsidR="0018636C" w:rsidRPr="006D0A84">
        <w:rPr>
          <w:rFonts w:ascii="Georgia" w:hAnsi="Georgia" w:cs="Arial"/>
        </w:rPr>
        <w:t>3</w:t>
      </w:r>
      <w:r w:rsidRPr="006D0A84">
        <w:rPr>
          <w:rFonts w:ascii="Georgia" w:hAnsi="Georgia" w:cs="Arial"/>
        </w:rPr>
        <w:t xml:space="preserve">, </w:t>
      </w:r>
      <w:r w:rsidR="002507BF">
        <w:rPr>
          <w:rFonts w:ascii="Georgia" w:hAnsi="Georgia" w:cs="Arial"/>
        </w:rPr>
        <w:t xml:space="preserve">and in the January 21 print edition </w:t>
      </w:r>
      <w:r w:rsidRPr="00A43129">
        <w:rPr>
          <w:rFonts w:ascii="Georgia" w:hAnsi="Georgia" w:cs="Arial"/>
        </w:rPr>
        <w:t xml:space="preserve">of </w:t>
      </w:r>
      <w:r w:rsidRPr="00A43129">
        <w:rPr>
          <w:rFonts w:ascii="Georgia" w:hAnsi="Georgia" w:cs="Arial"/>
          <w:i/>
          <w:iCs/>
        </w:rPr>
        <w:t>Automotive News</w:t>
      </w:r>
      <w:r w:rsidRPr="00A43129">
        <w:rPr>
          <w:rFonts w:ascii="Georgia" w:hAnsi="Georgia" w:cs="Arial"/>
        </w:rPr>
        <w:t xml:space="preserve"> at </w:t>
      </w:r>
      <w:hyperlink r:id="rId11" w:history="1">
        <w:r w:rsidRPr="00A43129">
          <w:rPr>
            <w:rStyle w:val="Hyperlink"/>
            <w:rFonts w:ascii="Georgia" w:hAnsi="Georgia" w:cs="Arial"/>
          </w:rPr>
          <w:t>www.autonews.com</w:t>
        </w:r>
      </w:hyperlink>
      <w:r w:rsidRPr="00A43129">
        <w:rPr>
          <w:rFonts w:ascii="Georgia" w:hAnsi="Georgia" w:cs="Arial"/>
        </w:rPr>
        <w:t xml:space="preserve"> and can also be found at </w:t>
      </w:r>
      <w:hyperlink r:id="rId12" w:history="1">
        <w:r w:rsidRPr="00A43129">
          <w:rPr>
            <w:rStyle w:val="Hyperlink"/>
            <w:rFonts w:ascii="Georgia" w:hAnsi="Georgia" w:cs="Arial"/>
          </w:rPr>
          <w:t>www.pwc.com/auto</w:t>
        </w:r>
      </w:hyperlink>
      <w:r w:rsidRPr="00A43129">
        <w:rPr>
          <w:rFonts w:ascii="Georgia" w:hAnsi="Georgia" w:cs="Arial"/>
        </w:rPr>
        <w:t xml:space="preserve"> from that date.</w:t>
      </w:r>
    </w:p>
    <w:p w:rsidR="00A43129" w:rsidRPr="00A43129" w:rsidRDefault="00A43129" w:rsidP="00A43129">
      <w:pPr>
        <w:ind w:left="360"/>
        <w:rPr>
          <w:rFonts w:ascii="Georgia" w:hAnsi="Georgia"/>
          <w:b/>
          <w:bCs/>
        </w:rPr>
      </w:pPr>
    </w:p>
    <w:p w:rsidR="00F30F2E" w:rsidRPr="00351CDA" w:rsidRDefault="0092212D" w:rsidP="00FF6DA1">
      <w:pPr>
        <w:spacing w:after="120"/>
        <w:ind w:left="360"/>
        <w:rPr>
          <w:rFonts w:ascii="Arial" w:eastAsia="SimSun" w:hAnsi="Arial"/>
        </w:rPr>
      </w:pPr>
      <w:r w:rsidRPr="0092212D">
        <w:rPr>
          <w:rFonts w:ascii="Georgia" w:hAnsi="Georgia" w:cs="Georgia"/>
          <w:b/>
          <w:bCs/>
          <w:color w:val="000000"/>
        </w:rPr>
        <w:t>About PwC US</w:t>
      </w:r>
      <w:r w:rsidRPr="0092212D">
        <w:rPr>
          <w:rFonts w:ascii="Georgia" w:hAnsi="Georgia" w:cs="Georgia"/>
          <w:color w:val="000000"/>
        </w:rPr>
        <w:br/>
        <w:t xml:space="preserve">PwC US helps organizations and individuals create the value they're looking for.  We're a member of the PwC network of firms in 158 countries with more than 180,000 people.  We're committed to delivering quality in assurance, tax and advisory services.  Tell us what matters to you and find out more by visiting us at </w:t>
      </w:r>
      <w:hyperlink r:id="rId13" w:history="1">
        <w:r w:rsidRPr="0092212D">
          <w:rPr>
            <w:rFonts w:ascii="Georgia" w:hAnsi="Georgia" w:cs="Georgia"/>
            <w:color w:val="0000FF"/>
            <w:u w:val="single"/>
          </w:rPr>
          <w:t>www.pwc.com/US</w:t>
        </w:r>
      </w:hyperlink>
      <w:r w:rsidRPr="0092212D">
        <w:rPr>
          <w:rFonts w:ascii="Georgia" w:hAnsi="Georgia" w:cs="Georgia"/>
          <w:color w:val="000000"/>
        </w:rPr>
        <w:t xml:space="preserve">. </w:t>
      </w:r>
      <w:r w:rsidRPr="0092212D">
        <w:rPr>
          <w:rFonts w:ascii="Georgia" w:hAnsi="Georgia" w:cs="Georgia"/>
          <w:color w:val="000000"/>
        </w:rPr>
        <w:br/>
      </w:r>
      <w:r w:rsidRPr="0092212D">
        <w:rPr>
          <w:rFonts w:ascii="Georgia" w:hAnsi="Georgia" w:cs="Georgia"/>
          <w:color w:val="000000"/>
        </w:rPr>
        <w:br/>
        <w:t xml:space="preserve">Learn more about PwC by following us online: </w:t>
      </w:r>
      <w:hyperlink r:id="rId14" w:history="1">
        <w:r w:rsidRPr="0092212D">
          <w:rPr>
            <w:rFonts w:ascii="Georgia" w:hAnsi="Georgia" w:cs="Georgia"/>
            <w:color w:val="0000FF"/>
            <w:u w:val="single"/>
          </w:rPr>
          <w:t>@PwC_LLP</w:t>
        </w:r>
      </w:hyperlink>
      <w:r w:rsidRPr="0092212D">
        <w:rPr>
          <w:rFonts w:ascii="Georgia" w:hAnsi="Georgia" w:cs="Georgia"/>
          <w:color w:val="000000"/>
        </w:rPr>
        <w:t xml:space="preserve">, </w:t>
      </w:r>
      <w:hyperlink r:id="rId15" w:history="1">
        <w:r w:rsidRPr="0092212D">
          <w:rPr>
            <w:rFonts w:ascii="Georgia" w:hAnsi="Georgia" w:cs="Georgia"/>
            <w:color w:val="0000FF"/>
            <w:u w:val="single"/>
          </w:rPr>
          <w:t>YouTube</w:t>
        </w:r>
      </w:hyperlink>
      <w:r w:rsidRPr="0092212D">
        <w:rPr>
          <w:rFonts w:ascii="Georgia" w:hAnsi="Georgia" w:cs="Georgia"/>
          <w:color w:val="000000"/>
        </w:rPr>
        <w:t xml:space="preserve">, </w:t>
      </w:r>
      <w:hyperlink r:id="rId16" w:history="1">
        <w:r w:rsidRPr="0092212D">
          <w:rPr>
            <w:rFonts w:ascii="Georgia" w:hAnsi="Georgia" w:cs="Georgia"/>
            <w:color w:val="0000FF"/>
            <w:u w:val="single"/>
          </w:rPr>
          <w:t>LinkedIn</w:t>
        </w:r>
      </w:hyperlink>
      <w:r w:rsidRPr="0092212D">
        <w:rPr>
          <w:rFonts w:ascii="Georgia" w:hAnsi="Georgia" w:cs="Georgia"/>
          <w:color w:val="000000"/>
        </w:rPr>
        <w:t xml:space="preserve">, </w:t>
      </w:r>
      <w:hyperlink r:id="rId17" w:history="1">
        <w:r w:rsidRPr="0092212D">
          <w:rPr>
            <w:rFonts w:ascii="Georgia" w:hAnsi="Georgia" w:cs="Georgia"/>
            <w:color w:val="0000FF"/>
            <w:u w:val="single"/>
          </w:rPr>
          <w:t>Facebook</w:t>
        </w:r>
      </w:hyperlink>
      <w:r w:rsidRPr="0092212D">
        <w:rPr>
          <w:rFonts w:ascii="Georgia" w:hAnsi="Georgia" w:cs="Georgia"/>
          <w:color w:val="000000"/>
        </w:rPr>
        <w:t xml:space="preserve"> and </w:t>
      </w:r>
      <w:hyperlink r:id="rId18" w:history="1">
        <w:r w:rsidRPr="0092212D">
          <w:rPr>
            <w:rFonts w:ascii="Georgia" w:hAnsi="Georgia" w:cs="Georgia"/>
            <w:color w:val="0000FF"/>
            <w:u w:val="single"/>
          </w:rPr>
          <w:t>Google +</w:t>
        </w:r>
      </w:hyperlink>
      <w:r w:rsidRPr="0092212D">
        <w:rPr>
          <w:rFonts w:ascii="Georgia" w:hAnsi="Georgia" w:cs="Georgia"/>
          <w:color w:val="000000"/>
        </w:rPr>
        <w:t xml:space="preserve">. </w:t>
      </w:r>
      <w:r w:rsidRPr="0092212D">
        <w:rPr>
          <w:rFonts w:ascii="Georgia" w:hAnsi="Georgia" w:cs="Georgia"/>
          <w:color w:val="000000"/>
        </w:rPr>
        <w:br/>
      </w:r>
      <w:r w:rsidRPr="0092212D">
        <w:rPr>
          <w:rFonts w:ascii="Georgia" w:hAnsi="Georgia" w:cs="Georgia"/>
          <w:color w:val="000000"/>
        </w:rPr>
        <w:br/>
        <w:t xml:space="preserve">© 2013 PricewaterhouseCoopers LLP, a Delaware limited liability partnership. All rights reserved. PwC refers to the US member firm, and may sometimes refer to the PwC network. Each member firm is a separate legal entity. Please see </w:t>
      </w:r>
      <w:hyperlink r:id="rId19" w:history="1">
        <w:r w:rsidRPr="0092212D">
          <w:rPr>
            <w:rFonts w:ascii="Georgia" w:hAnsi="Georgia" w:cs="Georgia"/>
            <w:color w:val="0000FF"/>
            <w:u w:val="single"/>
          </w:rPr>
          <w:t>www.pwc.com/structure</w:t>
        </w:r>
      </w:hyperlink>
      <w:r w:rsidRPr="0092212D">
        <w:rPr>
          <w:rFonts w:ascii="Georgia" w:hAnsi="Georgia" w:cs="Georgia"/>
          <w:color w:val="000000"/>
        </w:rPr>
        <w:t xml:space="preserve"> for further details.</w:t>
      </w:r>
    </w:p>
    <w:p w:rsidR="00F30F2E" w:rsidRDefault="00F30F2E" w:rsidP="00F30F2E">
      <w:pPr>
        <w:spacing w:after="120"/>
        <w:rPr>
          <w:rFonts w:ascii="Arial" w:eastAsia="SimSun" w:hAnsi="Arial"/>
          <w:sz w:val="20"/>
          <w:szCs w:val="20"/>
        </w:rPr>
      </w:pPr>
    </w:p>
    <w:p w:rsidR="00B45299" w:rsidRPr="0048527C" w:rsidRDefault="00B45299" w:rsidP="00B45299">
      <w:pPr>
        <w:pStyle w:val="NormalWeb"/>
        <w:spacing w:after="80" w:afterAutospacing="0"/>
        <w:rPr>
          <w:rFonts w:ascii="Georgia" w:hAnsi="Georgia"/>
          <w:color w:val="auto"/>
        </w:rPr>
      </w:pPr>
    </w:p>
    <w:p w:rsidR="00A3492E" w:rsidRPr="00A43129" w:rsidRDefault="00A5604B" w:rsidP="00A43129">
      <w:pPr>
        <w:ind w:left="360"/>
        <w:rPr>
          <w:rFonts w:ascii="Arial Narrow" w:hAnsi="Arial Narrow"/>
        </w:rPr>
      </w:pPr>
      <w:r w:rsidRPr="00A43129">
        <w:rPr>
          <w:rFonts w:ascii="Arial Narrow" w:hAnsi="Arial Narrow"/>
        </w:rPr>
        <w:tab/>
      </w:r>
      <w:r w:rsidRPr="00A43129">
        <w:rPr>
          <w:rFonts w:ascii="Arial Narrow" w:hAnsi="Arial Narrow"/>
        </w:rPr>
        <w:tab/>
      </w:r>
      <w:r w:rsidRPr="00A43129">
        <w:rPr>
          <w:rFonts w:ascii="Arial Narrow" w:hAnsi="Arial Narrow"/>
        </w:rPr>
        <w:tab/>
      </w:r>
      <w:r w:rsidRPr="00A43129">
        <w:rPr>
          <w:rFonts w:ascii="Arial Narrow" w:hAnsi="Arial Narrow"/>
        </w:rPr>
        <w:tab/>
      </w:r>
      <w:r w:rsidRPr="00A43129">
        <w:rPr>
          <w:rFonts w:ascii="Arial Narrow" w:hAnsi="Arial Narrow"/>
        </w:rPr>
        <w:tab/>
      </w:r>
    </w:p>
    <w:p w:rsidR="00B515A6" w:rsidRPr="00A43129" w:rsidRDefault="00A5604B" w:rsidP="00A3492E">
      <w:pPr>
        <w:ind w:left="720"/>
        <w:jc w:val="center"/>
        <w:rPr>
          <w:rFonts w:ascii="Arial Narrow" w:hAnsi="Arial Narrow"/>
        </w:rPr>
      </w:pPr>
      <w:r w:rsidRPr="00A43129">
        <w:rPr>
          <w:rFonts w:ascii="Arial Narrow" w:hAnsi="Arial Narrow"/>
        </w:rPr>
        <w:t>###</w:t>
      </w:r>
    </w:p>
    <w:sectPr w:rsidR="00B515A6" w:rsidRPr="00A43129" w:rsidSect="003B3B6E">
      <w:headerReference w:type="default" r:id="rId2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B75" w:rsidRDefault="00A67B75" w:rsidP="003B3B6E">
      <w:r>
        <w:separator/>
      </w:r>
    </w:p>
  </w:endnote>
  <w:endnote w:type="continuationSeparator" w:id="0">
    <w:p w:rsidR="00A67B75" w:rsidRDefault="00A67B75" w:rsidP="003B3B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B75" w:rsidRDefault="00A67B75" w:rsidP="003B3B6E">
      <w:r>
        <w:separator/>
      </w:r>
    </w:p>
  </w:footnote>
  <w:footnote w:type="continuationSeparator" w:id="0">
    <w:p w:rsidR="00A67B75" w:rsidRDefault="00A67B75" w:rsidP="003B3B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B6E" w:rsidRDefault="003B3B6E" w:rsidP="003B3B6E">
    <w:pPr>
      <w:pStyle w:val="Header"/>
      <w:ind w:left="360"/>
    </w:pPr>
    <w:r>
      <w:t>Page 2--Shareholder Value Awards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5116C"/>
    <w:multiLevelType w:val="hybridMultilevel"/>
    <w:tmpl w:val="194AAE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2FC4A94"/>
    <w:multiLevelType w:val="hybridMultilevel"/>
    <w:tmpl w:val="AFF4A2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ED13967"/>
    <w:multiLevelType w:val="hybridMultilevel"/>
    <w:tmpl w:val="D848017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
    <w:nsid w:val="38572722"/>
    <w:multiLevelType w:val="hybridMultilevel"/>
    <w:tmpl w:val="184CA4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E69075D"/>
    <w:multiLevelType w:val="hybridMultilevel"/>
    <w:tmpl w:val="63842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5B5A4B"/>
    <w:multiLevelType w:val="hybridMultilevel"/>
    <w:tmpl w:val="0FFED4B4"/>
    <w:lvl w:ilvl="0" w:tplc="C91CD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F6674FB"/>
    <w:multiLevelType w:val="hybridMultilevel"/>
    <w:tmpl w:val="1958C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391DE8"/>
    <w:multiLevelType w:val="hybridMultilevel"/>
    <w:tmpl w:val="E54C11BE"/>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8">
    <w:nsid w:val="7CA93467"/>
    <w:multiLevelType w:val="hybridMultilevel"/>
    <w:tmpl w:val="0AF4A12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7DD6506E"/>
    <w:multiLevelType w:val="hybridMultilevel"/>
    <w:tmpl w:val="937EDF88"/>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9"/>
  </w:num>
  <w:num w:numId="3">
    <w:abstractNumId w:val="2"/>
  </w:num>
  <w:num w:numId="4">
    <w:abstractNumId w:val="8"/>
  </w:num>
  <w:num w:numId="5">
    <w:abstractNumId w:val="1"/>
  </w:num>
  <w:num w:numId="6">
    <w:abstractNumId w:val="5"/>
  </w:num>
  <w:num w:numId="7">
    <w:abstractNumId w:val="4"/>
  </w:num>
  <w:num w:numId="8">
    <w:abstractNumId w:val="3"/>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stylePaneFormatFilter w:val="3F01"/>
  <w:trackRevisions/>
  <w:defaultTabStop w:val="720"/>
  <w:drawingGridHorizontalSpacing w:val="120"/>
  <w:displayHorizontalDrawingGridEvery w:val="2"/>
  <w:noPunctuationKerning/>
  <w:characterSpacingControl w:val="doNotCompress"/>
  <w:hdrShapeDefaults>
    <o:shapedefaults v:ext="edit" spidmax="17410"/>
  </w:hdrShapeDefaults>
  <w:footnotePr>
    <w:footnote w:id="-1"/>
    <w:footnote w:id="0"/>
  </w:footnotePr>
  <w:endnotePr>
    <w:endnote w:id="-1"/>
    <w:endnote w:id="0"/>
  </w:endnotePr>
  <w:compat/>
  <w:rsids>
    <w:rsidRoot w:val="004D28F9"/>
    <w:rsid w:val="00005AD7"/>
    <w:rsid w:val="00012A2C"/>
    <w:rsid w:val="00014238"/>
    <w:rsid w:val="0001431A"/>
    <w:rsid w:val="00016F35"/>
    <w:rsid w:val="00020896"/>
    <w:rsid w:val="000210D3"/>
    <w:rsid w:val="000225BB"/>
    <w:rsid w:val="0003169F"/>
    <w:rsid w:val="00036D11"/>
    <w:rsid w:val="00040255"/>
    <w:rsid w:val="00043812"/>
    <w:rsid w:val="000475E9"/>
    <w:rsid w:val="00050D94"/>
    <w:rsid w:val="00053628"/>
    <w:rsid w:val="00057CBE"/>
    <w:rsid w:val="00064A1A"/>
    <w:rsid w:val="00065D97"/>
    <w:rsid w:val="0007193C"/>
    <w:rsid w:val="000721D7"/>
    <w:rsid w:val="000744FF"/>
    <w:rsid w:val="000749B3"/>
    <w:rsid w:val="00095571"/>
    <w:rsid w:val="00097938"/>
    <w:rsid w:val="000A3385"/>
    <w:rsid w:val="000B0FD6"/>
    <w:rsid w:val="000B599D"/>
    <w:rsid w:val="000C0A32"/>
    <w:rsid w:val="000C0B7A"/>
    <w:rsid w:val="000C1835"/>
    <w:rsid w:val="000C6D57"/>
    <w:rsid w:val="000D1081"/>
    <w:rsid w:val="000D435E"/>
    <w:rsid w:val="000D4B36"/>
    <w:rsid w:val="000D652A"/>
    <w:rsid w:val="000F00A8"/>
    <w:rsid w:val="000F1AE1"/>
    <w:rsid w:val="000F1D04"/>
    <w:rsid w:val="000F5BD8"/>
    <w:rsid w:val="000F6AC1"/>
    <w:rsid w:val="000F6D4F"/>
    <w:rsid w:val="00105859"/>
    <w:rsid w:val="00110641"/>
    <w:rsid w:val="00112122"/>
    <w:rsid w:val="0011459E"/>
    <w:rsid w:val="00116B8D"/>
    <w:rsid w:val="00121A28"/>
    <w:rsid w:val="00122A59"/>
    <w:rsid w:val="00123B20"/>
    <w:rsid w:val="00124926"/>
    <w:rsid w:val="0012535A"/>
    <w:rsid w:val="00132F3A"/>
    <w:rsid w:val="001332D2"/>
    <w:rsid w:val="00133648"/>
    <w:rsid w:val="0013510D"/>
    <w:rsid w:val="00140B34"/>
    <w:rsid w:val="001451B1"/>
    <w:rsid w:val="00150B28"/>
    <w:rsid w:val="00155CF4"/>
    <w:rsid w:val="00156C64"/>
    <w:rsid w:val="00160561"/>
    <w:rsid w:val="00162C22"/>
    <w:rsid w:val="001647A3"/>
    <w:rsid w:val="0017087D"/>
    <w:rsid w:val="00174A51"/>
    <w:rsid w:val="00177F31"/>
    <w:rsid w:val="001800B2"/>
    <w:rsid w:val="00183576"/>
    <w:rsid w:val="00185512"/>
    <w:rsid w:val="0018636C"/>
    <w:rsid w:val="0018701F"/>
    <w:rsid w:val="0019097F"/>
    <w:rsid w:val="001969C9"/>
    <w:rsid w:val="001A13B2"/>
    <w:rsid w:val="001A31D9"/>
    <w:rsid w:val="001A4761"/>
    <w:rsid w:val="001A5F9C"/>
    <w:rsid w:val="001B0378"/>
    <w:rsid w:val="001B100E"/>
    <w:rsid w:val="001B6666"/>
    <w:rsid w:val="001C3367"/>
    <w:rsid w:val="001D0E6D"/>
    <w:rsid w:val="001E1844"/>
    <w:rsid w:val="001E4E49"/>
    <w:rsid w:val="00200A48"/>
    <w:rsid w:val="00206EEF"/>
    <w:rsid w:val="00207A70"/>
    <w:rsid w:val="00207AC6"/>
    <w:rsid w:val="002122CC"/>
    <w:rsid w:val="002123AE"/>
    <w:rsid w:val="00213253"/>
    <w:rsid w:val="00221DF9"/>
    <w:rsid w:val="00221FDF"/>
    <w:rsid w:val="0022341D"/>
    <w:rsid w:val="0022784F"/>
    <w:rsid w:val="00230269"/>
    <w:rsid w:val="0023155B"/>
    <w:rsid w:val="00232B18"/>
    <w:rsid w:val="00233F0E"/>
    <w:rsid w:val="00235ED5"/>
    <w:rsid w:val="00244AB3"/>
    <w:rsid w:val="0024600A"/>
    <w:rsid w:val="00246636"/>
    <w:rsid w:val="00246C4D"/>
    <w:rsid w:val="002500DA"/>
    <w:rsid w:val="002507BF"/>
    <w:rsid w:val="00257024"/>
    <w:rsid w:val="002577BB"/>
    <w:rsid w:val="002636CF"/>
    <w:rsid w:val="00270B54"/>
    <w:rsid w:val="00272BE0"/>
    <w:rsid w:val="002735E5"/>
    <w:rsid w:val="00276614"/>
    <w:rsid w:val="00286914"/>
    <w:rsid w:val="00291E71"/>
    <w:rsid w:val="002928D7"/>
    <w:rsid w:val="00294F1A"/>
    <w:rsid w:val="00295D44"/>
    <w:rsid w:val="0029685A"/>
    <w:rsid w:val="002A1542"/>
    <w:rsid w:val="002A16EF"/>
    <w:rsid w:val="002A7825"/>
    <w:rsid w:val="002A7828"/>
    <w:rsid w:val="002A7FA7"/>
    <w:rsid w:val="002B039C"/>
    <w:rsid w:val="002B0401"/>
    <w:rsid w:val="002B0CC8"/>
    <w:rsid w:val="002B2FED"/>
    <w:rsid w:val="002C4856"/>
    <w:rsid w:val="002C5E56"/>
    <w:rsid w:val="002C705A"/>
    <w:rsid w:val="002D08D2"/>
    <w:rsid w:val="002D38BB"/>
    <w:rsid w:val="002D4545"/>
    <w:rsid w:val="002D5AEF"/>
    <w:rsid w:val="002D6276"/>
    <w:rsid w:val="002E12DC"/>
    <w:rsid w:val="002E2ED9"/>
    <w:rsid w:val="002E6D9B"/>
    <w:rsid w:val="002E70D0"/>
    <w:rsid w:val="002E756F"/>
    <w:rsid w:val="002F1DAA"/>
    <w:rsid w:val="002F23BE"/>
    <w:rsid w:val="002F3D43"/>
    <w:rsid w:val="002F4E74"/>
    <w:rsid w:val="002F64FE"/>
    <w:rsid w:val="002F727B"/>
    <w:rsid w:val="003076FE"/>
    <w:rsid w:val="00307AC5"/>
    <w:rsid w:val="00307B89"/>
    <w:rsid w:val="00311B06"/>
    <w:rsid w:val="003123BE"/>
    <w:rsid w:val="00315521"/>
    <w:rsid w:val="003166E3"/>
    <w:rsid w:val="003223C2"/>
    <w:rsid w:val="0032272A"/>
    <w:rsid w:val="00323048"/>
    <w:rsid w:val="00325EC4"/>
    <w:rsid w:val="0032615B"/>
    <w:rsid w:val="003355EA"/>
    <w:rsid w:val="003355EB"/>
    <w:rsid w:val="003373B0"/>
    <w:rsid w:val="0034026C"/>
    <w:rsid w:val="00340510"/>
    <w:rsid w:val="00342B9E"/>
    <w:rsid w:val="00342BA5"/>
    <w:rsid w:val="00342D82"/>
    <w:rsid w:val="003433CE"/>
    <w:rsid w:val="00351CDA"/>
    <w:rsid w:val="003520C1"/>
    <w:rsid w:val="00355F87"/>
    <w:rsid w:val="00366701"/>
    <w:rsid w:val="003702B5"/>
    <w:rsid w:val="003702C4"/>
    <w:rsid w:val="003725FC"/>
    <w:rsid w:val="00375636"/>
    <w:rsid w:val="00381117"/>
    <w:rsid w:val="0038665F"/>
    <w:rsid w:val="00386893"/>
    <w:rsid w:val="00386EBC"/>
    <w:rsid w:val="00387744"/>
    <w:rsid w:val="00387875"/>
    <w:rsid w:val="0039531E"/>
    <w:rsid w:val="003A0896"/>
    <w:rsid w:val="003A2793"/>
    <w:rsid w:val="003A6DBD"/>
    <w:rsid w:val="003A721C"/>
    <w:rsid w:val="003A721F"/>
    <w:rsid w:val="003A7B4C"/>
    <w:rsid w:val="003B1F63"/>
    <w:rsid w:val="003B3401"/>
    <w:rsid w:val="003B3B6E"/>
    <w:rsid w:val="003B62C7"/>
    <w:rsid w:val="003B73F9"/>
    <w:rsid w:val="003B7833"/>
    <w:rsid w:val="003D002A"/>
    <w:rsid w:val="003D40A5"/>
    <w:rsid w:val="003D4CAF"/>
    <w:rsid w:val="003D5492"/>
    <w:rsid w:val="003D56C2"/>
    <w:rsid w:val="003D5FAD"/>
    <w:rsid w:val="003D6583"/>
    <w:rsid w:val="003E1342"/>
    <w:rsid w:val="003E1742"/>
    <w:rsid w:val="003E56C0"/>
    <w:rsid w:val="003E6E82"/>
    <w:rsid w:val="003E7FD5"/>
    <w:rsid w:val="00404022"/>
    <w:rsid w:val="00407881"/>
    <w:rsid w:val="0040792F"/>
    <w:rsid w:val="00407BC3"/>
    <w:rsid w:val="00410DF8"/>
    <w:rsid w:val="00414069"/>
    <w:rsid w:val="00416830"/>
    <w:rsid w:val="00420E1B"/>
    <w:rsid w:val="00421D9D"/>
    <w:rsid w:val="00422422"/>
    <w:rsid w:val="00423F88"/>
    <w:rsid w:val="00427CC9"/>
    <w:rsid w:val="0043227B"/>
    <w:rsid w:val="004328C1"/>
    <w:rsid w:val="004411D4"/>
    <w:rsid w:val="00442143"/>
    <w:rsid w:val="004447EC"/>
    <w:rsid w:val="00445F95"/>
    <w:rsid w:val="00456D4A"/>
    <w:rsid w:val="004601D4"/>
    <w:rsid w:val="0046108C"/>
    <w:rsid w:val="00461F19"/>
    <w:rsid w:val="00463579"/>
    <w:rsid w:val="00463854"/>
    <w:rsid w:val="00470866"/>
    <w:rsid w:val="0047140E"/>
    <w:rsid w:val="00477ADF"/>
    <w:rsid w:val="00480E0A"/>
    <w:rsid w:val="00481AC5"/>
    <w:rsid w:val="0048449A"/>
    <w:rsid w:val="0048510E"/>
    <w:rsid w:val="00485E61"/>
    <w:rsid w:val="004941FB"/>
    <w:rsid w:val="004955EB"/>
    <w:rsid w:val="004A1C0B"/>
    <w:rsid w:val="004A6327"/>
    <w:rsid w:val="004A7904"/>
    <w:rsid w:val="004B3540"/>
    <w:rsid w:val="004B36A2"/>
    <w:rsid w:val="004B7330"/>
    <w:rsid w:val="004C5B9A"/>
    <w:rsid w:val="004D0D99"/>
    <w:rsid w:val="004D28F9"/>
    <w:rsid w:val="004D3C2B"/>
    <w:rsid w:val="004E2C31"/>
    <w:rsid w:val="004E2EA2"/>
    <w:rsid w:val="004E7A45"/>
    <w:rsid w:val="004F18AC"/>
    <w:rsid w:val="004F2081"/>
    <w:rsid w:val="004F48F8"/>
    <w:rsid w:val="004F746A"/>
    <w:rsid w:val="0050325C"/>
    <w:rsid w:val="005061DA"/>
    <w:rsid w:val="00506291"/>
    <w:rsid w:val="005135B5"/>
    <w:rsid w:val="00517578"/>
    <w:rsid w:val="00520910"/>
    <w:rsid w:val="0052399C"/>
    <w:rsid w:val="00523A46"/>
    <w:rsid w:val="00527259"/>
    <w:rsid w:val="00530F63"/>
    <w:rsid w:val="00533104"/>
    <w:rsid w:val="00533D80"/>
    <w:rsid w:val="00540DF8"/>
    <w:rsid w:val="00546B5B"/>
    <w:rsid w:val="0055148B"/>
    <w:rsid w:val="005526A7"/>
    <w:rsid w:val="00553256"/>
    <w:rsid w:val="00557BFD"/>
    <w:rsid w:val="00562F1E"/>
    <w:rsid w:val="00562F5A"/>
    <w:rsid w:val="0056525E"/>
    <w:rsid w:val="00565B56"/>
    <w:rsid w:val="0057123E"/>
    <w:rsid w:val="00574912"/>
    <w:rsid w:val="00581D2C"/>
    <w:rsid w:val="00585924"/>
    <w:rsid w:val="005862E3"/>
    <w:rsid w:val="00596F45"/>
    <w:rsid w:val="005A069D"/>
    <w:rsid w:val="005A3342"/>
    <w:rsid w:val="005A4BD6"/>
    <w:rsid w:val="005A5BF2"/>
    <w:rsid w:val="005A61A0"/>
    <w:rsid w:val="005A6834"/>
    <w:rsid w:val="005A6BAE"/>
    <w:rsid w:val="005C0448"/>
    <w:rsid w:val="005C230C"/>
    <w:rsid w:val="005C4D16"/>
    <w:rsid w:val="005D38DD"/>
    <w:rsid w:val="005E28B1"/>
    <w:rsid w:val="005E4FDB"/>
    <w:rsid w:val="005E7B14"/>
    <w:rsid w:val="006018D1"/>
    <w:rsid w:val="0060331B"/>
    <w:rsid w:val="006041B3"/>
    <w:rsid w:val="00611689"/>
    <w:rsid w:val="00616A12"/>
    <w:rsid w:val="0062575C"/>
    <w:rsid w:val="00631CFD"/>
    <w:rsid w:val="00632804"/>
    <w:rsid w:val="00641C03"/>
    <w:rsid w:val="00646004"/>
    <w:rsid w:val="00646D76"/>
    <w:rsid w:val="00651EE9"/>
    <w:rsid w:val="00652088"/>
    <w:rsid w:val="00652CDA"/>
    <w:rsid w:val="0065417A"/>
    <w:rsid w:val="006646B5"/>
    <w:rsid w:val="00670E44"/>
    <w:rsid w:val="00672464"/>
    <w:rsid w:val="00672756"/>
    <w:rsid w:val="00680348"/>
    <w:rsid w:val="006845B3"/>
    <w:rsid w:val="00684ED5"/>
    <w:rsid w:val="006877E3"/>
    <w:rsid w:val="00691D39"/>
    <w:rsid w:val="00692276"/>
    <w:rsid w:val="00692E3F"/>
    <w:rsid w:val="006953E0"/>
    <w:rsid w:val="006977EA"/>
    <w:rsid w:val="006A2664"/>
    <w:rsid w:val="006B6675"/>
    <w:rsid w:val="006C0CCE"/>
    <w:rsid w:val="006C0FD2"/>
    <w:rsid w:val="006C2799"/>
    <w:rsid w:val="006D02BA"/>
    <w:rsid w:val="006D0849"/>
    <w:rsid w:val="006D098E"/>
    <w:rsid w:val="006D0A84"/>
    <w:rsid w:val="006D675D"/>
    <w:rsid w:val="006E12E6"/>
    <w:rsid w:val="006E18D6"/>
    <w:rsid w:val="006E25CF"/>
    <w:rsid w:val="006E2FF6"/>
    <w:rsid w:val="006E3839"/>
    <w:rsid w:val="006E41A7"/>
    <w:rsid w:val="006E43A9"/>
    <w:rsid w:val="006F22FC"/>
    <w:rsid w:val="006F2816"/>
    <w:rsid w:val="006F306F"/>
    <w:rsid w:val="00705FE4"/>
    <w:rsid w:val="007064E7"/>
    <w:rsid w:val="0071341B"/>
    <w:rsid w:val="007171F4"/>
    <w:rsid w:val="0072316C"/>
    <w:rsid w:val="0072788A"/>
    <w:rsid w:val="00732E99"/>
    <w:rsid w:val="007346D1"/>
    <w:rsid w:val="00737CA8"/>
    <w:rsid w:val="00740410"/>
    <w:rsid w:val="0074109D"/>
    <w:rsid w:val="00743D87"/>
    <w:rsid w:val="00743DB6"/>
    <w:rsid w:val="00745ECF"/>
    <w:rsid w:val="00746B11"/>
    <w:rsid w:val="0075198F"/>
    <w:rsid w:val="00762570"/>
    <w:rsid w:val="00762625"/>
    <w:rsid w:val="00763B70"/>
    <w:rsid w:val="007709D9"/>
    <w:rsid w:val="00770BB3"/>
    <w:rsid w:val="00772B97"/>
    <w:rsid w:val="00777788"/>
    <w:rsid w:val="007829BB"/>
    <w:rsid w:val="00787CC9"/>
    <w:rsid w:val="00795E82"/>
    <w:rsid w:val="007A3CF8"/>
    <w:rsid w:val="007A42E0"/>
    <w:rsid w:val="007A62A3"/>
    <w:rsid w:val="007B0C3B"/>
    <w:rsid w:val="007C5CEE"/>
    <w:rsid w:val="007D036D"/>
    <w:rsid w:val="007D1369"/>
    <w:rsid w:val="007D470C"/>
    <w:rsid w:val="007E3C96"/>
    <w:rsid w:val="007E4403"/>
    <w:rsid w:val="007F03DF"/>
    <w:rsid w:val="007F24BF"/>
    <w:rsid w:val="007F3527"/>
    <w:rsid w:val="007F3F6F"/>
    <w:rsid w:val="007F4A3D"/>
    <w:rsid w:val="00801EFB"/>
    <w:rsid w:val="0080372B"/>
    <w:rsid w:val="008071B2"/>
    <w:rsid w:val="00811900"/>
    <w:rsid w:val="00815C52"/>
    <w:rsid w:val="0082375A"/>
    <w:rsid w:val="00825E86"/>
    <w:rsid w:val="00826537"/>
    <w:rsid w:val="008306C9"/>
    <w:rsid w:val="00837443"/>
    <w:rsid w:val="00840FF9"/>
    <w:rsid w:val="00843441"/>
    <w:rsid w:val="00843A8B"/>
    <w:rsid w:val="00846C69"/>
    <w:rsid w:val="00850DD8"/>
    <w:rsid w:val="00851DD3"/>
    <w:rsid w:val="00852714"/>
    <w:rsid w:val="0085539B"/>
    <w:rsid w:val="0085589B"/>
    <w:rsid w:val="008613C7"/>
    <w:rsid w:val="008630A4"/>
    <w:rsid w:val="00874C46"/>
    <w:rsid w:val="00875672"/>
    <w:rsid w:val="00880CCF"/>
    <w:rsid w:val="00881B78"/>
    <w:rsid w:val="00883435"/>
    <w:rsid w:val="00883EEF"/>
    <w:rsid w:val="008852F8"/>
    <w:rsid w:val="00886AA7"/>
    <w:rsid w:val="008917BF"/>
    <w:rsid w:val="008A0EF1"/>
    <w:rsid w:val="008A60AD"/>
    <w:rsid w:val="008A6C45"/>
    <w:rsid w:val="008B0446"/>
    <w:rsid w:val="008C4ABD"/>
    <w:rsid w:val="008C67CE"/>
    <w:rsid w:val="008C7316"/>
    <w:rsid w:val="008C7357"/>
    <w:rsid w:val="008D2200"/>
    <w:rsid w:val="008E009D"/>
    <w:rsid w:val="008F2762"/>
    <w:rsid w:val="008F3654"/>
    <w:rsid w:val="008F44DA"/>
    <w:rsid w:val="008F508A"/>
    <w:rsid w:val="008F5206"/>
    <w:rsid w:val="00902DFD"/>
    <w:rsid w:val="00903086"/>
    <w:rsid w:val="00903C68"/>
    <w:rsid w:val="00904133"/>
    <w:rsid w:val="00906741"/>
    <w:rsid w:val="00914F42"/>
    <w:rsid w:val="00915C54"/>
    <w:rsid w:val="00917FBC"/>
    <w:rsid w:val="0092212D"/>
    <w:rsid w:val="00923D8D"/>
    <w:rsid w:val="00923F7F"/>
    <w:rsid w:val="009242CE"/>
    <w:rsid w:val="009243B5"/>
    <w:rsid w:val="009261A3"/>
    <w:rsid w:val="00930E4D"/>
    <w:rsid w:val="009415EC"/>
    <w:rsid w:val="00942077"/>
    <w:rsid w:val="00944E20"/>
    <w:rsid w:val="009466C9"/>
    <w:rsid w:val="0095189E"/>
    <w:rsid w:val="00954DC7"/>
    <w:rsid w:val="0096243E"/>
    <w:rsid w:val="009629ED"/>
    <w:rsid w:val="009642F2"/>
    <w:rsid w:val="00966EF3"/>
    <w:rsid w:val="00972722"/>
    <w:rsid w:val="009760C9"/>
    <w:rsid w:val="0097754A"/>
    <w:rsid w:val="009807B7"/>
    <w:rsid w:val="009815FA"/>
    <w:rsid w:val="00983D74"/>
    <w:rsid w:val="00985309"/>
    <w:rsid w:val="009866C4"/>
    <w:rsid w:val="00992ABA"/>
    <w:rsid w:val="00993746"/>
    <w:rsid w:val="00995181"/>
    <w:rsid w:val="009A46AB"/>
    <w:rsid w:val="009B3B45"/>
    <w:rsid w:val="009C353F"/>
    <w:rsid w:val="009C3776"/>
    <w:rsid w:val="009C3C77"/>
    <w:rsid w:val="009C5B80"/>
    <w:rsid w:val="009C65DC"/>
    <w:rsid w:val="009D008C"/>
    <w:rsid w:val="009D1C99"/>
    <w:rsid w:val="009D23E2"/>
    <w:rsid w:val="009D3725"/>
    <w:rsid w:val="009D4D1B"/>
    <w:rsid w:val="009D6146"/>
    <w:rsid w:val="009D7E68"/>
    <w:rsid w:val="009E2A71"/>
    <w:rsid w:val="009E2ADB"/>
    <w:rsid w:val="009E2FB9"/>
    <w:rsid w:val="009E3CF1"/>
    <w:rsid w:val="009F16BE"/>
    <w:rsid w:val="009F34AA"/>
    <w:rsid w:val="00A00814"/>
    <w:rsid w:val="00A02418"/>
    <w:rsid w:val="00A02C2D"/>
    <w:rsid w:val="00A0594E"/>
    <w:rsid w:val="00A121CB"/>
    <w:rsid w:val="00A1330F"/>
    <w:rsid w:val="00A134AF"/>
    <w:rsid w:val="00A1450A"/>
    <w:rsid w:val="00A15F5B"/>
    <w:rsid w:val="00A1757C"/>
    <w:rsid w:val="00A17D22"/>
    <w:rsid w:val="00A22D92"/>
    <w:rsid w:val="00A23AD6"/>
    <w:rsid w:val="00A31A87"/>
    <w:rsid w:val="00A324FA"/>
    <w:rsid w:val="00A3492E"/>
    <w:rsid w:val="00A35823"/>
    <w:rsid w:val="00A43129"/>
    <w:rsid w:val="00A526D0"/>
    <w:rsid w:val="00A52F8A"/>
    <w:rsid w:val="00A54E2C"/>
    <w:rsid w:val="00A5604B"/>
    <w:rsid w:val="00A62464"/>
    <w:rsid w:val="00A67B75"/>
    <w:rsid w:val="00A71A59"/>
    <w:rsid w:val="00A71D2A"/>
    <w:rsid w:val="00A77FEB"/>
    <w:rsid w:val="00A813B1"/>
    <w:rsid w:val="00A8624D"/>
    <w:rsid w:val="00AA2792"/>
    <w:rsid w:val="00AA53C4"/>
    <w:rsid w:val="00AA5E59"/>
    <w:rsid w:val="00AB0543"/>
    <w:rsid w:val="00AB11A2"/>
    <w:rsid w:val="00AB4D6C"/>
    <w:rsid w:val="00AB6EC5"/>
    <w:rsid w:val="00AD14A7"/>
    <w:rsid w:val="00AE688E"/>
    <w:rsid w:val="00AE6CDE"/>
    <w:rsid w:val="00AE7D32"/>
    <w:rsid w:val="00AF26F5"/>
    <w:rsid w:val="00AF5DA5"/>
    <w:rsid w:val="00AF6FD1"/>
    <w:rsid w:val="00B015F0"/>
    <w:rsid w:val="00B027DB"/>
    <w:rsid w:val="00B045EB"/>
    <w:rsid w:val="00B11317"/>
    <w:rsid w:val="00B125D2"/>
    <w:rsid w:val="00B12D0B"/>
    <w:rsid w:val="00B140EA"/>
    <w:rsid w:val="00B20D9F"/>
    <w:rsid w:val="00B2297F"/>
    <w:rsid w:val="00B22DB0"/>
    <w:rsid w:val="00B22F26"/>
    <w:rsid w:val="00B23225"/>
    <w:rsid w:val="00B30EFD"/>
    <w:rsid w:val="00B31601"/>
    <w:rsid w:val="00B32A64"/>
    <w:rsid w:val="00B36E5F"/>
    <w:rsid w:val="00B42981"/>
    <w:rsid w:val="00B45299"/>
    <w:rsid w:val="00B46CF2"/>
    <w:rsid w:val="00B46F51"/>
    <w:rsid w:val="00B503BD"/>
    <w:rsid w:val="00B515A6"/>
    <w:rsid w:val="00B516F7"/>
    <w:rsid w:val="00B573E3"/>
    <w:rsid w:val="00B574C5"/>
    <w:rsid w:val="00B60487"/>
    <w:rsid w:val="00B60B1C"/>
    <w:rsid w:val="00B6485C"/>
    <w:rsid w:val="00B656A1"/>
    <w:rsid w:val="00B6729F"/>
    <w:rsid w:val="00B773E0"/>
    <w:rsid w:val="00B9055A"/>
    <w:rsid w:val="00B9421B"/>
    <w:rsid w:val="00BA3C65"/>
    <w:rsid w:val="00BA4CE5"/>
    <w:rsid w:val="00BA69BD"/>
    <w:rsid w:val="00BA7408"/>
    <w:rsid w:val="00BB012F"/>
    <w:rsid w:val="00BB0F4E"/>
    <w:rsid w:val="00BB65D6"/>
    <w:rsid w:val="00BB70FD"/>
    <w:rsid w:val="00BB7EE9"/>
    <w:rsid w:val="00BC0275"/>
    <w:rsid w:val="00BC362D"/>
    <w:rsid w:val="00BD43D2"/>
    <w:rsid w:val="00BD46DF"/>
    <w:rsid w:val="00BD4B9C"/>
    <w:rsid w:val="00BD53CE"/>
    <w:rsid w:val="00BD541C"/>
    <w:rsid w:val="00BD663C"/>
    <w:rsid w:val="00BE0ABC"/>
    <w:rsid w:val="00BE1427"/>
    <w:rsid w:val="00BF1745"/>
    <w:rsid w:val="00BF50B2"/>
    <w:rsid w:val="00C01E82"/>
    <w:rsid w:val="00C03F30"/>
    <w:rsid w:val="00C066B4"/>
    <w:rsid w:val="00C16AF0"/>
    <w:rsid w:val="00C16FD9"/>
    <w:rsid w:val="00C21325"/>
    <w:rsid w:val="00C22803"/>
    <w:rsid w:val="00C25145"/>
    <w:rsid w:val="00C27F92"/>
    <w:rsid w:val="00C32612"/>
    <w:rsid w:val="00C3339B"/>
    <w:rsid w:val="00C37139"/>
    <w:rsid w:val="00C443C4"/>
    <w:rsid w:val="00C4736D"/>
    <w:rsid w:val="00C47598"/>
    <w:rsid w:val="00C540C5"/>
    <w:rsid w:val="00C54D14"/>
    <w:rsid w:val="00C5767F"/>
    <w:rsid w:val="00C628AC"/>
    <w:rsid w:val="00C65F6B"/>
    <w:rsid w:val="00C67981"/>
    <w:rsid w:val="00C731D4"/>
    <w:rsid w:val="00C735F7"/>
    <w:rsid w:val="00C739B7"/>
    <w:rsid w:val="00C73F2D"/>
    <w:rsid w:val="00C74493"/>
    <w:rsid w:val="00C8139B"/>
    <w:rsid w:val="00C82977"/>
    <w:rsid w:val="00C8386C"/>
    <w:rsid w:val="00C86CE5"/>
    <w:rsid w:val="00C878DC"/>
    <w:rsid w:val="00C93E6A"/>
    <w:rsid w:val="00C96A7D"/>
    <w:rsid w:val="00C96C66"/>
    <w:rsid w:val="00CA0AC0"/>
    <w:rsid w:val="00CA25E5"/>
    <w:rsid w:val="00CA3AA5"/>
    <w:rsid w:val="00CB1A6C"/>
    <w:rsid w:val="00CB3333"/>
    <w:rsid w:val="00CC4B82"/>
    <w:rsid w:val="00CC5AC7"/>
    <w:rsid w:val="00CC6D61"/>
    <w:rsid w:val="00CD0630"/>
    <w:rsid w:val="00CD0E13"/>
    <w:rsid w:val="00CD1284"/>
    <w:rsid w:val="00CD48EF"/>
    <w:rsid w:val="00CE0FE6"/>
    <w:rsid w:val="00CE23AD"/>
    <w:rsid w:val="00CE4F57"/>
    <w:rsid w:val="00CF3846"/>
    <w:rsid w:val="00CF4B3C"/>
    <w:rsid w:val="00CF651E"/>
    <w:rsid w:val="00D00A5F"/>
    <w:rsid w:val="00D00EF3"/>
    <w:rsid w:val="00D03652"/>
    <w:rsid w:val="00D06470"/>
    <w:rsid w:val="00D14ACB"/>
    <w:rsid w:val="00D15CF8"/>
    <w:rsid w:val="00D2055E"/>
    <w:rsid w:val="00D22CE9"/>
    <w:rsid w:val="00D27895"/>
    <w:rsid w:val="00D36633"/>
    <w:rsid w:val="00D37E95"/>
    <w:rsid w:val="00D45D8E"/>
    <w:rsid w:val="00D50941"/>
    <w:rsid w:val="00D50CEB"/>
    <w:rsid w:val="00D52748"/>
    <w:rsid w:val="00D573EA"/>
    <w:rsid w:val="00D574A8"/>
    <w:rsid w:val="00D60D02"/>
    <w:rsid w:val="00D614E6"/>
    <w:rsid w:val="00D62673"/>
    <w:rsid w:val="00D66E54"/>
    <w:rsid w:val="00D74486"/>
    <w:rsid w:val="00D840B9"/>
    <w:rsid w:val="00D85225"/>
    <w:rsid w:val="00D86221"/>
    <w:rsid w:val="00D863AB"/>
    <w:rsid w:val="00D86684"/>
    <w:rsid w:val="00D9443D"/>
    <w:rsid w:val="00D94C6A"/>
    <w:rsid w:val="00D95DBB"/>
    <w:rsid w:val="00D97A7C"/>
    <w:rsid w:val="00DA1373"/>
    <w:rsid w:val="00DA2C32"/>
    <w:rsid w:val="00DA65A9"/>
    <w:rsid w:val="00DB289C"/>
    <w:rsid w:val="00DB521E"/>
    <w:rsid w:val="00DC13EB"/>
    <w:rsid w:val="00DC3421"/>
    <w:rsid w:val="00DD14DF"/>
    <w:rsid w:val="00DD2AAB"/>
    <w:rsid w:val="00DD4EC7"/>
    <w:rsid w:val="00DE0775"/>
    <w:rsid w:val="00DE402B"/>
    <w:rsid w:val="00DE652F"/>
    <w:rsid w:val="00DE7D45"/>
    <w:rsid w:val="00DF2317"/>
    <w:rsid w:val="00E00D60"/>
    <w:rsid w:val="00E17D55"/>
    <w:rsid w:val="00E220F4"/>
    <w:rsid w:val="00E25025"/>
    <w:rsid w:val="00E26C49"/>
    <w:rsid w:val="00E27592"/>
    <w:rsid w:val="00E27CA7"/>
    <w:rsid w:val="00E376BD"/>
    <w:rsid w:val="00E40198"/>
    <w:rsid w:val="00E4162E"/>
    <w:rsid w:val="00E42271"/>
    <w:rsid w:val="00E43EC3"/>
    <w:rsid w:val="00E520E4"/>
    <w:rsid w:val="00E5309B"/>
    <w:rsid w:val="00E54282"/>
    <w:rsid w:val="00E56238"/>
    <w:rsid w:val="00E57CDD"/>
    <w:rsid w:val="00E6096E"/>
    <w:rsid w:val="00E66D1D"/>
    <w:rsid w:val="00E725C8"/>
    <w:rsid w:val="00E75A18"/>
    <w:rsid w:val="00E774A9"/>
    <w:rsid w:val="00E777F9"/>
    <w:rsid w:val="00E835C3"/>
    <w:rsid w:val="00E83FA0"/>
    <w:rsid w:val="00E902B0"/>
    <w:rsid w:val="00E904DB"/>
    <w:rsid w:val="00E9226C"/>
    <w:rsid w:val="00E9243C"/>
    <w:rsid w:val="00E92773"/>
    <w:rsid w:val="00E95E97"/>
    <w:rsid w:val="00EA0544"/>
    <w:rsid w:val="00EA1761"/>
    <w:rsid w:val="00EA3679"/>
    <w:rsid w:val="00EA37F1"/>
    <w:rsid w:val="00EA5F69"/>
    <w:rsid w:val="00EA6238"/>
    <w:rsid w:val="00EB076D"/>
    <w:rsid w:val="00EC2C58"/>
    <w:rsid w:val="00EC3D10"/>
    <w:rsid w:val="00EC4E62"/>
    <w:rsid w:val="00EC7E64"/>
    <w:rsid w:val="00EC7EF3"/>
    <w:rsid w:val="00ED1587"/>
    <w:rsid w:val="00ED4FE8"/>
    <w:rsid w:val="00EE5F9A"/>
    <w:rsid w:val="00EF34DE"/>
    <w:rsid w:val="00EF515C"/>
    <w:rsid w:val="00EF6C65"/>
    <w:rsid w:val="00EF7C98"/>
    <w:rsid w:val="00F02E7A"/>
    <w:rsid w:val="00F076F3"/>
    <w:rsid w:val="00F07E27"/>
    <w:rsid w:val="00F14022"/>
    <w:rsid w:val="00F16A1F"/>
    <w:rsid w:val="00F26FB7"/>
    <w:rsid w:val="00F30F2E"/>
    <w:rsid w:val="00F352F3"/>
    <w:rsid w:val="00F3728B"/>
    <w:rsid w:val="00F40077"/>
    <w:rsid w:val="00F4414A"/>
    <w:rsid w:val="00F513E8"/>
    <w:rsid w:val="00F528BC"/>
    <w:rsid w:val="00F5423B"/>
    <w:rsid w:val="00F55E5B"/>
    <w:rsid w:val="00F56D90"/>
    <w:rsid w:val="00F605CA"/>
    <w:rsid w:val="00F60A8E"/>
    <w:rsid w:val="00F63993"/>
    <w:rsid w:val="00F671D5"/>
    <w:rsid w:val="00F70736"/>
    <w:rsid w:val="00F70C3A"/>
    <w:rsid w:val="00F80EDC"/>
    <w:rsid w:val="00F81F25"/>
    <w:rsid w:val="00F8247C"/>
    <w:rsid w:val="00F84791"/>
    <w:rsid w:val="00F8604C"/>
    <w:rsid w:val="00F871CE"/>
    <w:rsid w:val="00F928E9"/>
    <w:rsid w:val="00F959D4"/>
    <w:rsid w:val="00FA4607"/>
    <w:rsid w:val="00FA51D3"/>
    <w:rsid w:val="00FA6B39"/>
    <w:rsid w:val="00FB1497"/>
    <w:rsid w:val="00FB385D"/>
    <w:rsid w:val="00FB5BD3"/>
    <w:rsid w:val="00FB690A"/>
    <w:rsid w:val="00FB7090"/>
    <w:rsid w:val="00FC009C"/>
    <w:rsid w:val="00FC1A90"/>
    <w:rsid w:val="00FC3DC4"/>
    <w:rsid w:val="00FC41D4"/>
    <w:rsid w:val="00FC61D9"/>
    <w:rsid w:val="00FC679F"/>
    <w:rsid w:val="00FD2C27"/>
    <w:rsid w:val="00FD3403"/>
    <w:rsid w:val="00FD6F84"/>
    <w:rsid w:val="00FD7659"/>
    <w:rsid w:val="00FE521C"/>
    <w:rsid w:val="00FE6AD3"/>
    <w:rsid w:val="00FF119F"/>
    <w:rsid w:val="00FF49AA"/>
    <w:rsid w:val="00FF5E2A"/>
    <w:rsid w:val="00FF6D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28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D28F9"/>
    <w:rPr>
      <w:color w:val="0000FF"/>
      <w:u w:val="single"/>
    </w:rPr>
  </w:style>
  <w:style w:type="paragraph" w:styleId="BalloonText">
    <w:name w:val="Balloon Text"/>
    <w:basedOn w:val="Normal"/>
    <w:semiHidden/>
    <w:rsid w:val="006646B5"/>
    <w:rPr>
      <w:rFonts w:ascii="Tahoma" w:hAnsi="Tahoma" w:cs="Tahoma"/>
      <w:sz w:val="16"/>
      <w:szCs w:val="16"/>
    </w:rPr>
  </w:style>
  <w:style w:type="character" w:styleId="CommentReference">
    <w:name w:val="annotation reference"/>
    <w:basedOn w:val="DefaultParagraphFont"/>
    <w:semiHidden/>
    <w:rsid w:val="008306C9"/>
    <w:rPr>
      <w:sz w:val="16"/>
      <w:szCs w:val="16"/>
    </w:rPr>
  </w:style>
  <w:style w:type="paragraph" w:styleId="CommentText">
    <w:name w:val="annotation text"/>
    <w:basedOn w:val="Normal"/>
    <w:semiHidden/>
    <w:rsid w:val="008306C9"/>
    <w:rPr>
      <w:sz w:val="20"/>
      <w:szCs w:val="20"/>
    </w:rPr>
  </w:style>
  <w:style w:type="paragraph" w:styleId="CommentSubject">
    <w:name w:val="annotation subject"/>
    <w:basedOn w:val="CommentText"/>
    <w:next w:val="CommentText"/>
    <w:semiHidden/>
    <w:rsid w:val="008306C9"/>
    <w:rPr>
      <w:b/>
      <w:bCs/>
    </w:rPr>
  </w:style>
  <w:style w:type="paragraph" w:styleId="BodyText">
    <w:name w:val="Body Text"/>
    <w:basedOn w:val="Normal"/>
    <w:rsid w:val="00470866"/>
    <w:rPr>
      <w:b/>
      <w:bCs/>
      <w:sz w:val="22"/>
      <w:szCs w:val="22"/>
    </w:rPr>
  </w:style>
  <w:style w:type="paragraph" w:styleId="DocumentMap">
    <w:name w:val="Document Map"/>
    <w:basedOn w:val="Normal"/>
    <w:semiHidden/>
    <w:rsid w:val="004F746A"/>
    <w:pPr>
      <w:shd w:val="clear" w:color="auto" w:fill="000080"/>
    </w:pPr>
    <w:rPr>
      <w:rFonts w:ascii="Tahoma" w:hAnsi="Tahoma" w:cs="Tahoma"/>
      <w:sz w:val="20"/>
      <w:szCs w:val="20"/>
    </w:rPr>
  </w:style>
  <w:style w:type="paragraph" w:styleId="Header">
    <w:name w:val="header"/>
    <w:basedOn w:val="Normal"/>
    <w:link w:val="HeaderChar"/>
    <w:rsid w:val="003B3B6E"/>
    <w:pPr>
      <w:tabs>
        <w:tab w:val="center" w:pos="4680"/>
        <w:tab w:val="right" w:pos="9360"/>
      </w:tabs>
    </w:pPr>
  </w:style>
  <w:style w:type="character" w:customStyle="1" w:styleId="HeaderChar">
    <w:name w:val="Header Char"/>
    <w:basedOn w:val="DefaultParagraphFont"/>
    <w:link w:val="Header"/>
    <w:rsid w:val="003B3B6E"/>
    <w:rPr>
      <w:sz w:val="24"/>
      <w:szCs w:val="24"/>
    </w:rPr>
  </w:style>
  <w:style w:type="paragraph" w:styleId="Footer">
    <w:name w:val="footer"/>
    <w:basedOn w:val="Normal"/>
    <w:link w:val="FooterChar"/>
    <w:rsid w:val="003B3B6E"/>
    <w:pPr>
      <w:tabs>
        <w:tab w:val="center" w:pos="4680"/>
        <w:tab w:val="right" w:pos="9360"/>
      </w:tabs>
    </w:pPr>
  </w:style>
  <w:style w:type="character" w:customStyle="1" w:styleId="FooterChar">
    <w:name w:val="Footer Char"/>
    <w:basedOn w:val="DefaultParagraphFont"/>
    <w:link w:val="Footer"/>
    <w:rsid w:val="003B3B6E"/>
    <w:rPr>
      <w:sz w:val="24"/>
      <w:szCs w:val="24"/>
    </w:rPr>
  </w:style>
  <w:style w:type="table" w:styleId="TableGrid">
    <w:name w:val="Table Grid"/>
    <w:basedOn w:val="TableNormal"/>
    <w:rsid w:val="00F928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45299"/>
    <w:pPr>
      <w:spacing w:after="100" w:afterAutospacing="1"/>
    </w:pPr>
    <w:rPr>
      <w:rFonts w:ascii="Arial" w:hAnsi="Arial" w:cs="Arial"/>
      <w:color w:val="333333"/>
    </w:rPr>
  </w:style>
  <w:style w:type="character" w:styleId="FollowedHyperlink">
    <w:name w:val="FollowedHyperlink"/>
    <w:basedOn w:val="DefaultParagraphFont"/>
    <w:rsid w:val="00C82977"/>
    <w:rPr>
      <w:color w:val="800080"/>
      <w:u w:val="single"/>
    </w:rPr>
  </w:style>
  <w:style w:type="character" w:styleId="Emphasis">
    <w:name w:val="Emphasis"/>
    <w:basedOn w:val="DefaultParagraphFont"/>
    <w:uiPriority w:val="20"/>
    <w:qFormat/>
    <w:rsid w:val="00B46F51"/>
    <w:rPr>
      <w:i/>
      <w:iCs/>
    </w:rPr>
  </w:style>
  <w:style w:type="character" w:styleId="Strong">
    <w:name w:val="Strong"/>
    <w:basedOn w:val="DefaultParagraphFont"/>
    <w:uiPriority w:val="22"/>
    <w:qFormat/>
    <w:rsid w:val="00B46F51"/>
    <w:rPr>
      <w:b/>
      <w:bCs/>
    </w:rPr>
  </w:style>
</w:styles>
</file>

<file path=word/webSettings.xml><?xml version="1.0" encoding="utf-8"?>
<w:webSettings xmlns:r="http://schemas.openxmlformats.org/officeDocument/2006/relationships" xmlns:w="http://schemas.openxmlformats.org/wordprocessingml/2006/main">
  <w:divs>
    <w:div w:id="697700373">
      <w:bodyDiv w:val="1"/>
      <w:marLeft w:val="0"/>
      <w:marRight w:val="0"/>
      <w:marTop w:val="0"/>
      <w:marBottom w:val="0"/>
      <w:divBdr>
        <w:top w:val="none" w:sz="0" w:space="0" w:color="auto"/>
        <w:left w:val="none" w:sz="0" w:space="0" w:color="auto"/>
        <w:bottom w:val="none" w:sz="0" w:space="0" w:color="auto"/>
        <w:right w:val="none" w:sz="0" w:space="0" w:color="auto"/>
      </w:divBdr>
      <w:divsChild>
        <w:div w:id="607198808">
          <w:marLeft w:val="0"/>
          <w:marRight w:val="0"/>
          <w:marTop w:val="0"/>
          <w:marBottom w:val="0"/>
          <w:divBdr>
            <w:top w:val="none" w:sz="0" w:space="0" w:color="auto"/>
            <w:left w:val="none" w:sz="0" w:space="0" w:color="auto"/>
            <w:bottom w:val="none" w:sz="0" w:space="0" w:color="auto"/>
            <w:right w:val="none" w:sz="0" w:space="0" w:color="auto"/>
          </w:divBdr>
          <w:divsChild>
            <w:div w:id="12418024">
              <w:marLeft w:val="0"/>
              <w:marRight w:val="0"/>
              <w:marTop w:val="0"/>
              <w:marBottom w:val="1503"/>
              <w:divBdr>
                <w:top w:val="none" w:sz="0" w:space="0" w:color="auto"/>
                <w:left w:val="none" w:sz="0" w:space="0" w:color="auto"/>
                <w:bottom w:val="none" w:sz="0" w:space="0" w:color="auto"/>
                <w:right w:val="none" w:sz="0" w:space="0" w:color="auto"/>
              </w:divBdr>
              <w:divsChild>
                <w:div w:id="1579631174">
                  <w:marLeft w:val="0"/>
                  <w:marRight w:val="0"/>
                  <w:marTop w:val="0"/>
                  <w:marBottom w:val="0"/>
                  <w:divBdr>
                    <w:top w:val="none" w:sz="0" w:space="0" w:color="auto"/>
                    <w:left w:val="none" w:sz="0" w:space="0" w:color="auto"/>
                    <w:bottom w:val="none" w:sz="0" w:space="0" w:color="auto"/>
                    <w:right w:val="none" w:sz="0" w:space="0" w:color="auto"/>
                  </w:divBdr>
                  <w:divsChild>
                    <w:div w:id="579141768">
                      <w:marLeft w:val="0"/>
                      <w:marRight w:val="0"/>
                      <w:marTop w:val="0"/>
                      <w:marBottom w:val="0"/>
                      <w:divBdr>
                        <w:top w:val="none" w:sz="0" w:space="0" w:color="auto"/>
                        <w:left w:val="none" w:sz="0" w:space="0" w:color="auto"/>
                        <w:bottom w:val="none" w:sz="0" w:space="0" w:color="auto"/>
                        <w:right w:val="none" w:sz="0" w:space="0" w:color="auto"/>
                      </w:divBdr>
                      <w:divsChild>
                        <w:div w:id="1628581535">
                          <w:marLeft w:val="150"/>
                          <w:marRight w:val="0"/>
                          <w:marTop w:val="0"/>
                          <w:marBottom w:val="0"/>
                          <w:divBdr>
                            <w:top w:val="none" w:sz="0" w:space="0" w:color="auto"/>
                            <w:left w:val="none" w:sz="0" w:space="0" w:color="auto"/>
                            <w:bottom w:val="none" w:sz="0" w:space="0" w:color="auto"/>
                            <w:right w:val="none" w:sz="0" w:space="0" w:color="auto"/>
                          </w:divBdr>
                          <w:divsChild>
                            <w:div w:id="165941425">
                              <w:marLeft w:val="0"/>
                              <w:marRight w:val="0"/>
                              <w:marTop w:val="0"/>
                              <w:marBottom w:val="0"/>
                              <w:divBdr>
                                <w:top w:val="none" w:sz="0" w:space="0" w:color="auto"/>
                                <w:left w:val="none" w:sz="0" w:space="0" w:color="auto"/>
                                <w:bottom w:val="none" w:sz="0" w:space="0" w:color="auto"/>
                                <w:right w:val="none" w:sz="0" w:space="0" w:color="auto"/>
                              </w:divBdr>
                              <w:divsChild>
                                <w:div w:id="252322682">
                                  <w:marLeft w:val="0"/>
                                  <w:marRight w:val="0"/>
                                  <w:marTop w:val="0"/>
                                  <w:marBottom w:val="301"/>
                                  <w:divBdr>
                                    <w:top w:val="none" w:sz="0" w:space="0" w:color="auto"/>
                                    <w:left w:val="none" w:sz="0" w:space="0" w:color="auto"/>
                                    <w:bottom w:val="none" w:sz="0" w:space="0" w:color="auto"/>
                                    <w:right w:val="none" w:sz="0" w:space="0" w:color="auto"/>
                                  </w:divBdr>
                                  <w:divsChild>
                                    <w:div w:id="1862277456">
                                      <w:marLeft w:val="0"/>
                                      <w:marRight w:val="0"/>
                                      <w:marTop w:val="0"/>
                                      <w:marBottom w:val="0"/>
                                      <w:divBdr>
                                        <w:top w:val="none" w:sz="0" w:space="0" w:color="auto"/>
                                        <w:left w:val="none" w:sz="0" w:space="0" w:color="auto"/>
                                        <w:bottom w:val="none" w:sz="0" w:space="0" w:color="auto"/>
                                        <w:right w:val="none" w:sz="0" w:space="0" w:color="auto"/>
                                      </w:divBdr>
                                      <w:divsChild>
                                        <w:div w:id="17892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489722">
      <w:bodyDiv w:val="1"/>
      <w:marLeft w:val="0"/>
      <w:marRight w:val="0"/>
      <w:marTop w:val="0"/>
      <w:marBottom w:val="0"/>
      <w:divBdr>
        <w:top w:val="none" w:sz="0" w:space="0" w:color="auto"/>
        <w:left w:val="none" w:sz="0" w:space="0" w:color="auto"/>
        <w:bottom w:val="none" w:sz="0" w:space="0" w:color="auto"/>
        <w:right w:val="none" w:sz="0" w:space="0" w:color="auto"/>
      </w:divBdr>
      <w:divsChild>
        <w:div w:id="1142424721">
          <w:marLeft w:val="0"/>
          <w:marRight w:val="0"/>
          <w:marTop w:val="0"/>
          <w:marBottom w:val="0"/>
          <w:divBdr>
            <w:top w:val="none" w:sz="0" w:space="0" w:color="auto"/>
            <w:left w:val="none" w:sz="0" w:space="0" w:color="auto"/>
            <w:bottom w:val="none" w:sz="0" w:space="0" w:color="auto"/>
            <w:right w:val="none" w:sz="0" w:space="0" w:color="auto"/>
          </w:divBdr>
          <w:divsChild>
            <w:div w:id="1748335329">
              <w:marLeft w:val="0"/>
              <w:marRight w:val="0"/>
              <w:marTop w:val="0"/>
              <w:marBottom w:val="1503"/>
              <w:divBdr>
                <w:top w:val="none" w:sz="0" w:space="0" w:color="auto"/>
                <w:left w:val="none" w:sz="0" w:space="0" w:color="auto"/>
                <w:bottom w:val="none" w:sz="0" w:space="0" w:color="auto"/>
                <w:right w:val="none" w:sz="0" w:space="0" w:color="auto"/>
              </w:divBdr>
              <w:divsChild>
                <w:div w:id="1351176447">
                  <w:marLeft w:val="0"/>
                  <w:marRight w:val="0"/>
                  <w:marTop w:val="0"/>
                  <w:marBottom w:val="0"/>
                  <w:divBdr>
                    <w:top w:val="none" w:sz="0" w:space="0" w:color="auto"/>
                    <w:left w:val="none" w:sz="0" w:space="0" w:color="auto"/>
                    <w:bottom w:val="none" w:sz="0" w:space="0" w:color="auto"/>
                    <w:right w:val="none" w:sz="0" w:space="0" w:color="auto"/>
                  </w:divBdr>
                  <w:divsChild>
                    <w:div w:id="1234849312">
                      <w:marLeft w:val="0"/>
                      <w:marRight w:val="0"/>
                      <w:marTop w:val="0"/>
                      <w:marBottom w:val="0"/>
                      <w:divBdr>
                        <w:top w:val="none" w:sz="0" w:space="0" w:color="auto"/>
                        <w:left w:val="none" w:sz="0" w:space="0" w:color="auto"/>
                        <w:bottom w:val="none" w:sz="0" w:space="0" w:color="auto"/>
                        <w:right w:val="none" w:sz="0" w:space="0" w:color="auto"/>
                      </w:divBdr>
                      <w:divsChild>
                        <w:div w:id="928735097">
                          <w:marLeft w:val="150"/>
                          <w:marRight w:val="0"/>
                          <w:marTop w:val="0"/>
                          <w:marBottom w:val="0"/>
                          <w:divBdr>
                            <w:top w:val="none" w:sz="0" w:space="0" w:color="auto"/>
                            <w:left w:val="none" w:sz="0" w:space="0" w:color="auto"/>
                            <w:bottom w:val="none" w:sz="0" w:space="0" w:color="auto"/>
                            <w:right w:val="none" w:sz="0" w:space="0" w:color="auto"/>
                          </w:divBdr>
                          <w:divsChild>
                            <w:div w:id="1058673934">
                              <w:marLeft w:val="0"/>
                              <w:marRight w:val="0"/>
                              <w:marTop w:val="0"/>
                              <w:marBottom w:val="0"/>
                              <w:divBdr>
                                <w:top w:val="none" w:sz="0" w:space="0" w:color="auto"/>
                                <w:left w:val="none" w:sz="0" w:space="0" w:color="auto"/>
                                <w:bottom w:val="none" w:sz="0" w:space="0" w:color="auto"/>
                                <w:right w:val="none" w:sz="0" w:space="0" w:color="auto"/>
                              </w:divBdr>
                              <w:divsChild>
                                <w:div w:id="1040783967">
                                  <w:marLeft w:val="0"/>
                                  <w:marRight w:val="0"/>
                                  <w:marTop w:val="0"/>
                                  <w:marBottom w:val="301"/>
                                  <w:divBdr>
                                    <w:top w:val="none" w:sz="0" w:space="0" w:color="auto"/>
                                    <w:left w:val="none" w:sz="0" w:space="0" w:color="auto"/>
                                    <w:bottom w:val="none" w:sz="0" w:space="0" w:color="auto"/>
                                    <w:right w:val="none" w:sz="0" w:space="0" w:color="auto"/>
                                  </w:divBdr>
                                  <w:divsChild>
                                    <w:div w:id="829248036">
                                      <w:marLeft w:val="0"/>
                                      <w:marRight w:val="0"/>
                                      <w:marTop w:val="0"/>
                                      <w:marBottom w:val="0"/>
                                      <w:divBdr>
                                        <w:top w:val="none" w:sz="0" w:space="0" w:color="auto"/>
                                        <w:left w:val="none" w:sz="0" w:space="0" w:color="auto"/>
                                        <w:bottom w:val="none" w:sz="0" w:space="0" w:color="auto"/>
                                        <w:right w:val="none" w:sz="0" w:space="0" w:color="auto"/>
                                      </w:divBdr>
                                      <w:divsChild>
                                        <w:div w:id="30928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796007">
      <w:bodyDiv w:val="1"/>
      <w:marLeft w:val="0"/>
      <w:marRight w:val="0"/>
      <w:marTop w:val="0"/>
      <w:marBottom w:val="0"/>
      <w:divBdr>
        <w:top w:val="none" w:sz="0" w:space="0" w:color="auto"/>
        <w:left w:val="none" w:sz="0" w:space="0" w:color="auto"/>
        <w:bottom w:val="none" w:sz="0" w:space="0" w:color="auto"/>
        <w:right w:val="none" w:sz="0" w:space="0" w:color="auto"/>
      </w:divBdr>
      <w:divsChild>
        <w:div w:id="1882816382">
          <w:marLeft w:val="0"/>
          <w:marRight w:val="0"/>
          <w:marTop w:val="0"/>
          <w:marBottom w:val="0"/>
          <w:divBdr>
            <w:top w:val="none" w:sz="0" w:space="0" w:color="auto"/>
            <w:left w:val="none" w:sz="0" w:space="0" w:color="auto"/>
            <w:bottom w:val="none" w:sz="0" w:space="0" w:color="auto"/>
            <w:right w:val="none" w:sz="0" w:space="0" w:color="auto"/>
          </w:divBdr>
          <w:divsChild>
            <w:div w:id="548538281">
              <w:marLeft w:val="0"/>
              <w:marRight w:val="0"/>
              <w:marTop w:val="0"/>
              <w:marBottom w:val="1503"/>
              <w:divBdr>
                <w:top w:val="none" w:sz="0" w:space="0" w:color="auto"/>
                <w:left w:val="none" w:sz="0" w:space="0" w:color="auto"/>
                <w:bottom w:val="none" w:sz="0" w:space="0" w:color="auto"/>
                <w:right w:val="none" w:sz="0" w:space="0" w:color="auto"/>
              </w:divBdr>
              <w:divsChild>
                <w:div w:id="955067819">
                  <w:marLeft w:val="0"/>
                  <w:marRight w:val="0"/>
                  <w:marTop w:val="0"/>
                  <w:marBottom w:val="0"/>
                  <w:divBdr>
                    <w:top w:val="none" w:sz="0" w:space="0" w:color="auto"/>
                    <w:left w:val="none" w:sz="0" w:space="0" w:color="auto"/>
                    <w:bottom w:val="none" w:sz="0" w:space="0" w:color="auto"/>
                    <w:right w:val="none" w:sz="0" w:space="0" w:color="auto"/>
                  </w:divBdr>
                  <w:divsChild>
                    <w:div w:id="176040634">
                      <w:marLeft w:val="0"/>
                      <w:marRight w:val="0"/>
                      <w:marTop w:val="0"/>
                      <w:marBottom w:val="0"/>
                      <w:divBdr>
                        <w:top w:val="none" w:sz="0" w:space="0" w:color="auto"/>
                        <w:left w:val="none" w:sz="0" w:space="0" w:color="auto"/>
                        <w:bottom w:val="none" w:sz="0" w:space="0" w:color="auto"/>
                        <w:right w:val="none" w:sz="0" w:space="0" w:color="auto"/>
                      </w:divBdr>
                      <w:divsChild>
                        <w:div w:id="913734511">
                          <w:marLeft w:val="150"/>
                          <w:marRight w:val="0"/>
                          <w:marTop w:val="0"/>
                          <w:marBottom w:val="0"/>
                          <w:divBdr>
                            <w:top w:val="none" w:sz="0" w:space="0" w:color="auto"/>
                            <w:left w:val="none" w:sz="0" w:space="0" w:color="auto"/>
                            <w:bottom w:val="none" w:sz="0" w:space="0" w:color="auto"/>
                            <w:right w:val="none" w:sz="0" w:space="0" w:color="auto"/>
                          </w:divBdr>
                          <w:divsChild>
                            <w:div w:id="1307658500">
                              <w:marLeft w:val="0"/>
                              <w:marRight w:val="0"/>
                              <w:marTop w:val="0"/>
                              <w:marBottom w:val="0"/>
                              <w:divBdr>
                                <w:top w:val="none" w:sz="0" w:space="0" w:color="auto"/>
                                <w:left w:val="none" w:sz="0" w:space="0" w:color="auto"/>
                                <w:bottom w:val="none" w:sz="0" w:space="0" w:color="auto"/>
                                <w:right w:val="none" w:sz="0" w:space="0" w:color="auto"/>
                              </w:divBdr>
                              <w:divsChild>
                                <w:div w:id="1000934896">
                                  <w:marLeft w:val="0"/>
                                  <w:marRight w:val="0"/>
                                  <w:marTop w:val="0"/>
                                  <w:marBottom w:val="301"/>
                                  <w:divBdr>
                                    <w:top w:val="none" w:sz="0" w:space="0" w:color="auto"/>
                                    <w:left w:val="none" w:sz="0" w:space="0" w:color="auto"/>
                                    <w:bottom w:val="none" w:sz="0" w:space="0" w:color="auto"/>
                                    <w:right w:val="none" w:sz="0" w:space="0" w:color="auto"/>
                                  </w:divBdr>
                                  <w:divsChild>
                                    <w:div w:id="1831945032">
                                      <w:marLeft w:val="0"/>
                                      <w:marRight w:val="0"/>
                                      <w:marTop w:val="0"/>
                                      <w:marBottom w:val="0"/>
                                      <w:divBdr>
                                        <w:top w:val="none" w:sz="0" w:space="0" w:color="auto"/>
                                        <w:left w:val="none" w:sz="0" w:space="0" w:color="auto"/>
                                        <w:bottom w:val="none" w:sz="0" w:space="0" w:color="auto"/>
                                        <w:right w:val="none" w:sz="0" w:space="0" w:color="auto"/>
                                      </w:divBdr>
                                      <w:divsChild>
                                        <w:div w:id="78422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6178179">
      <w:bodyDiv w:val="1"/>
      <w:marLeft w:val="0"/>
      <w:marRight w:val="0"/>
      <w:marTop w:val="0"/>
      <w:marBottom w:val="0"/>
      <w:divBdr>
        <w:top w:val="none" w:sz="0" w:space="0" w:color="auto"/>
        <w:left w:val="none" w:sz="0" w:space="0" w:color="auto"/>
        <w:bottom w:val="none" w:sz="0" w:space="0" w:color="auto"/>
        <w:right w:val="none" w:sz="0" w:space="0" w:color="auto"/>
      </w:divBdr>
      <w:divsChild>
        <w:div w:id="111097286">
          <w:marLeft w:val="0"/>
          <w:marRight w:val="0"/>
          <w:marTop w:val="0"/>
          <w:marBottom w:val="0"/>
          <w:divBdr>
            <w:top w:val="none" w:sz="0" w:space="0" w:color="auto"/>
            <w:left w:val="none" w:sz="0" w:space="0" w:color="auto"/>
            <w:bottom w:val="none" w:sz="0" w:space="0" w:color="auto"/>
            <w:right w:val="none" w:sz="0" w:space="0" w:color="auto"/>
          </w:divBdr>
          <w:divsChild>
            <w:div w:id="681319536">
              <w:marLeft w:val="0"/>
              <w:marRight w:val="0"/>
              <w:marTop w:val="0"/>
              <w:marBottom w:val="0"/>
              <w:divBdr>
                <w:top w:val="none" w:sz="0" w:space="0" w:color="auto"/>
                <w:left w:val="none" w:sz="0" w:space="0" w:color="auto"/>
                <w:bottom w:val="none" w:sz="0" w:space="0" w:color="auto"/>
                <w:right w:val="none" w:sz="0" w:space="0" w:color="auto"/>
              </w:divBdr>
              <w:divsChild>
                <w:div w:id="166261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wc.com/US" TargetMode="External"/><Relationship Id="rId18" Type="http://schemas.openxmlformats.org/officeDocument/2006/relationships/hyperlink" Target="https://plus.google.com/u/0/100980668534684158363/post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wc.com/auto" TargetMode="External"/><Relationship Id="rId17" Type="http://schemas.openxmlformats.org/officeDocument/2006/relationships/hyperlink" Target="https://www.facebook.com/pwcfanpage" TargetMode="External"/><Relationship Id="rId2" Type="http://schemas.openxmlformats.org/officeDocument/2006/relationships/numbering" Target="numbering.xml"/><Relationship Id="rId16" Type="http://schemas.openxmlformats.org/officeDocument/2006/relationships/hyperlink" Target="http://www.linkedin.com/company/pw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tonews.com" TargetMode="External"/><Relationship Id="rId5" Type="http://schemas.openxmlformats.org/officeDocument/2006/relationships/webSettings" Target="webSettings.xml"/><Relationship Id="rId15" Type="http://schemas.openxmlformats.org/officeDocument/2006/relationships/hyperlink" Target="http://www.youtube.com/PwC" TargetMode="External"/><Relationship Id="rId10" Type="http://schemas.openxmlformats.org/officeDocument/2006/relationships/hyperlink" Target="mailto:laura.schooler@us.pwc.com" TargetMode="External"/><Relationship Id="rId19" Type="http://schemas.openxmlformats.org/officeDocument/2006/relationships/hyperlink" Target="http://www.pwc.com/structure" TargetMode="External"/><Relationship Id="rId4" Type="http://schemas.openxmlformats.org/officeDocument/2006/relationships/settings" Target="settings.xml"/><Relationship Id="rId9" Type="http://schemas.openxmlformats.org/officeDocument/2006/relationships/hyperlink" Target="mailto:kristin.l.mccallum@us.pwc.com" TargetMode="External"/><Relationship Id="rId14" Type="http://schemas.openxmlformats.org/officeDocument/2006/relationships/hyperlink" Target="https://twitter.com/PwC_LL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FFF573-442F-4F0A-A453-89D4D6175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4003</CharactersWithSpaces>
  <SharedDoc>false</SharedDoc>
  <HLinks>
    <vt:vector size="60" baseType="variant">
      <vt:variant>
        <vt:i4>4456526</vt:i4>
      </vt:variant>
      <vt:variant>
        <vt:i4>27</vt:i4>
      </vt:variant>
      <vt:variant>
        <vt:i4>0</vt:i4>
      </vt:variant>
      <vt:variant>
        <vt:i4>5</vt:i4>
      </vt:variant>
      <vt:variant>
        <vt:lpwstr>http://www.pwc.com/structure</vt:lpwstr>
      </vt:variant>
      <vt:variant>
        <vt:lpwstr/>
      </vt:variant>
      <vt:variant>
        <vt:i4>3735677</vt:i4>
      </vt:variant>
      <vt:variant>
        <vt:i4>24</vt:i4>
      </vt:variant>
      <vt:variant>
        <vt:i4>0</vt:i4>
      </vt:variant>
      <vt:variant>
        <vt:i4>5</vt:i4>
      </vt:variant>
      <vt:variant>
        <vt:lpwstr>https://plus.google.com/u/0/100980668534684158363/posts</vt:lpwstr>
      </vt:variant>
      <vt:variant>
        <vt:lpwstr/>
      </vt:variant>
      <vt:variant>
        <vt:i4>2293816</vt:i4>
      </vt:variant>
      <vt:variant>
        <vt:i4>21</vt:i4>
      </vt:variant>
      <vt:variant>
        <vt:i4>0</vt:i4>
      </vt:variant>
      <vt:variant>
        <vt:i4>5</vt:i4>
      </vt:variant>
      <vt:variant>
        <vt:lpwstr>https://www.facebook.com/pwcfanpage</vt:lpwstr>
      </vt:variant>
      <vt:variant>
        <vt:lpwstr/>
      </vt:variant>
      <vt:variant>
        <vt:i4>6422576</vt:i4>
      </vt:variant>
      <vt:variant>
        <vt:i4>18</vt:i4>
      </vt:variant>
      <vt:variant>
        <vt:i4>0</vt:i4>
      </vt:variant>
      <vt:variant>
        <vt:i4>5</vt:i4>
      </vt:variant>
      <vt:variant>
        <vt:lpwstr>http://www.linkedin.com/company/pwc</vt:lpwstr>
      </vt:variant>
      <vt:variant>
        <vt:lpwstr/>
      </vt:variant>
      <vt:variant>
        <vt:i4>2752560</vt:i4>
      </vt:variant>
      <vt:variant>
        <vt:i4>15</vt:i4>
      </vt:variant>
      <vt:variant>
        <vt:i4>0</vt:i4>
      </vt:variant>
      <vt:variant>
        <vt:i4>5</vt:i4>
      </vt:variant>
      <vt:variant>
        <vt:lpwstr>http://www.youtube.com/PwC</vt:lpwstr>
      </vt:variant>
      <vt:variant>
        <vt:lpwstr/>
      </vt:variant>
      <vt:variant>
        <vt:i4>6094890</vt:i4>
      </vt:variant>
      <vt:variant>
        <vt:i4>12</vt:i4>
      </vt:variant>
      <vt:variant>
        <vt:i4>0</vt:i4>
      </vt:variant>
      <vt:variant>
        <vt:i4>5</vt:i4>
      </vt:variant>
      <vt:variant>
        <vt:lpwstr>https://twitter.com/PwC_LLP</vt:lpwstr>
      </vt:variant>
      <vt:variant>
        <vt:lpwstr/>
      </vt:variant>
      <vt:variant>
        <vt:i4>4390985</vt:i4>
      </vt:variant>
      <vt:variant>
        <vt:i4>9</vt:i4>
      </vt:variant>
      <vt:variant>
        <vt:i4>0</vt:i4>
      </vt:variant>
      <vt:variant>
        <vt:i4>5</vt:i4>
      </vt:variant>
      <vt:variant>
        <vt:lpwstr>http://www.pwc.com/US</vt:lpwstr>
      </vt:variant>
      <vt:variant>
        <vt:lpwstr/>
      </vt:variant>
      <vt:variant>
        <vt:i4>2293820</vt:i4>
      </vt:variant>
      <vt:variant>
        <vt:i4>6</vt:i4>
      </vt:variant>
      <vt:variant>
        <vt:i4>0</vt:i4>
      </vt:variant>
      <vt:variant>
        <vt:i4>5</vt:i4>
      </vt:variant>
      <vt:variant>
        <vt:lpwstr>http://www.pwc.com/auto</vt:lpwstr>
      </vt:variant>
      <vt:variant>
        <vt:lpwstr/>
      </vt:variant>
      <vt:variant>
        <vt:i4>4784210</vt:i4>
      </vt:variant>
      <vt:variant>
        <vt:i4>3</vt:i4>
      </vt:variant>
      <vt:variant>
        <vt:i4>0</vt:i4>
      </vt:variant>
      <vt:variant>
        <vt:i4>5</vt:i4>
      </vt:variant>
      <vt:variant>
        <vt:lpwstr>http://www.autonews.com/</vt:lpwstr>
      </vt:variant>
      <vt:variant>
        <vt:lpwstr/>
      </vt:variant>
      <vt:variant>
        <vt:i4>5963808</vt:i4>
      </vt:variant>
      <vt:variant>
        <vt:i4>0</vt:i4>
      </vt:variant>
      <vt:variant>
        <vt:i4>0</vt:i4>
      </vt:variant>
      <vt:variant>
        <vt:i4>5</vt:i4>
      </vt:variant>
      <vt:variant>
        <vt:lpwstr>mailto:kristin.l.ritter@us.pwc.com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Cianciulli</dc:creator>
  <cp:lastModifiedBy>Windows User</cp:lastModifiedBy>
  <cp:revision>2</cp:revision>
  <cp:lastPrinted>2013-01-14T16:22:00Z</cp:lastPrinted>
  <dcterms:created xsi:type="dcterms:W3CDTF">2013-02-25T15:59:00Z</dcterms:created>
  <dcterms:modified xsi:type="dcterms:W3CDTF">2013-02-25T15:59:00Z</dcterms:modified>
</cp:coreProperties>
</file>