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6B" w:rsidRDefault="00D10423">
      <w:pPr>
        <w:ind w:left="720"/>
        <w:jc w:val="right"/>
        <w:rPr>
          <w:rFonts w:ascii="Georgia" w:hAnsi="Georgia"/>
          <w:noProof/>
        </w:rPr>
      </w:pPr>
      <w:r>
        <w:rPr>
          <w:rFonts w:ascii="Georgia" w:hAnsi="Georgia"/>
          <w:noProof/>
        </w:rPr>
        <w:drawing>
          <wp:anchor distT="0" distB="0" distL="114300" distR="114300" simplePos="0" relativeHeight="251657728" behindDoc="0" locked="1" layoutInCell="1" allowOverlap="1">
            <wp:simplePos x="0" y="0"/>
            <wp:positionH relativeFrom="page">
              <wp:posOffset>892175</wp:posOffset>
            </wp:positionH>
            <wp:positionV relativeFrom="page">
              <wp:posOffset>495300</wp:posOffset>
            </wp:positionV>
            <wp:extent cx="1409700" cy="1266825"/>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8" cstate="print"/>
                    <a:srcRect/>
                    <a:stretch>
                      <a:fillRect/>
                    </a:stretch>
                  </pic:blipFill>
                  <pic:spPr bwMode="auto">
                    <a:xfrm>
                      <a:off x="0" y="0"/>
                      <a:ext cx="1409700" cy="1266825"/>
                    </a:xfrm>
                    <a:prstGeom prst="rect">
                      <a:avLst/>
                    </a:prstGeom>
                    <a:noFill/>
                    <a:ln w="9525">
                      <a:noFill/>
                      <a:miter lim="800000"/>
                      <a:headEnd/>
                      <a:tailEnd/>
                    </a:ln>
                  </pic:spPr>
                </pic:pic>
              </a:graphicData>
            </a:graphic>
          </wp:anchor>
        </w:drawing>
      </w:r>
    </w:p>
    <w:p w:rsidR="00D8696B" w:rsidRDefault="00D8696B">
      <w:pPr>
        <w:ind w:left="720"/>
        <w:jc w:val="right"/>
        <w:rPr>
          <w:rFonts w:ascii="Georgia" w:hAnsi="Georgia"/>
          <w:noProof/>
        </w:rPr>
      </w:pPr>
    </w:p>
    <w:p w:rsidR="00D8696B" w:rsidRDefault="00D8696B">
      <w:pPr>
        <w:ind w:left="720"/>
        <w:jc w:val="right"/>
        <w:rPr>
          <w:rFonts w:ascii="Georgia" w:hAnsi="Georgia"/>
          <w:noProof/>
        </w:rPr>
      </w:pPr>
    </w:p>
    <w:p w:rsidR="00D8696B" w:rsidRDefault="00D8696B">
      <w:pPr>
        <w:ind w:left="720"/>
        <w:jc w:val="right"/>
        <w:rPr>
          <w:rFonts w:ascii="Georgia" w:hAnsi="Georgia"/>
          <w:noProof/>
        </w:rPr>
      </w:pPr>
    </w:p>
    <w:p w:rsidR="00D8696B" w:rsidRDefault="00D8696B">
      <w:pPr>
        <w:rPr>
          <w:rFonts w:ascii="Georgia" w:hAnsi="Georgia"/>
        </w:rPr>
      </w:pPr>
    </w:p>
    <w:p w:rsidR="00D8696B" w:rsidRDefault="00D10423">
      <w:pPr>
        <w:ind w:left="360"/>
        <w:rPr>
          <w:rFonts w:ascii="Georgia" w:hAnsi="Georgia" w:cs="Arial"/>
          <w:smallCaps/>
          <w:sz w:val="22"/>
          <w:szCs w:val="22"/>
        </w:rPr>
      </w:pPr>
      <w:r>
        <w:rPr>
          <w:rFonts w:ascii="Georgia" w:hAnsi="Georgia" w:cs="Arial"/>
          <w:b/>
          <w:sz w:val="22"/>
          <w:szCs w:val="22"/>
        </w:rPr>
        <w:t>Contacts:</w:t>
      </w:r>
      <w:r>
        <w:rPr>
          <w:rFonts w:ascii="Georgia" w:hAnsi="Georgia" w:cs="Arial"/>
          <w:smallCaps/>
          <w:sz w:val="22"/>
          <w:szCs w:val="22"/>
        </w:rPr>
        <w:tab/>
      </w:r>
    </w:p>
    <w:tbl>
      <w:tblPr>
        <w:tblStyle w:val="TableGrid"/>
        <w:tblW w:w="98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8"/>
        <w:gridCol w:w="2926"/>
        <w:gridCol w:w="3096"/>
      </w:tblGrid>
      <w:tr w:rsidR="004E73AB" w:rsidRPr="00A66484" w:rsidTr="004E73AB">
        <w:tc>
          <w:tcPr>
            <w:tcW w:w="3978" w:type="dxa"/>
          </w:tcPr>
          <w:p w:rsidR="004E73AB" w:rsidRPr="00A66484" w:rsidRDefault="004E73AB">
            <w:pPr>
              <w:tabs>
                <w:tab w:val="left" w:pos="2880"/>
                <w:tab w:val="left" w:pos="6120"/>
              </w:tabs>
              <w:rPr>
                <w:rFonts w:ascii="Georgia" w:hAnsi="Georgia" w:cs="Arial"/>
                <w:color w:val="000000" w:themeColor="text1"/>
                <w:sz w:val="22"/>
                <w:szCs w:val="22"/>
                <w:lang w:val="de-DE"/>
              </w:rPr>
            </w:pPr>
            <w:r w:rsidRPr="00A66484">
              <w:rPr>
                <w:rFonts w:ascii="Georgia" w:hAnsi="Georgia" w:cs="Arial"/>
                <w:color w:val="000000" w:themeColor="text1"/>
                <w:sz w:val="22"/>
                <w:szCs w:val="22"/>
                <w:lang w:val="de-DE"/>
              </w:rPr>
              <w:t>Kristin McCallum</w:t>
            </w:r>
            <w:r>
              <w:rPr>
                <w:rFonts w:ascii="Georgia" w:hAnsi="Georgia" w:cs="Arial"/>
                <w:color w:val="000000" w:themeColor="text1"/>
                <w:sz w:val="22"/>
                <w:szCs w:val="22"/>
                <w:lang w:val="de-DE"/>
              </w:rPr>
              <w:t xml:space="preserve"> Ritter</w:t>
            </w:r>
          </w:p>
          <w:p w:rsidR="004E73AB" w:rsidRPr="00A66484" w:rsidRDefault="004E73AB">
            <w:pPr>
              <w:tabs>
                <w:tab w:val="left" w:pos="2880"/>
                <w:tab w:val="left" w:pos="6120"/>
              </w:tabs>
              <w:rPr>
                <w:rFonts w:ascii="Georgia" w:hAnsi="Georgia" w:cs="Arial"/>
                <w:color w:val="000000" w:themeColor="text1"/>
                <w:sz w:val="22"/>
                <w:szCs w:val="22"/>
                <w:lang w:val="de-DE"/>
              </w:rPr>
            </w:pPr>
            <w:r w:rsidRPr="00A66484">
              <w:rPr>
                <w:rFonts w:ascii="Georgia" w:hAnsi="Georgia" w:cs="Arial"/>
                <w:color w:val="000000" w:themeColor="text1"/>
                <w:sz w:val="22"/>
                <w:szCs w:val="22"/>
                <w:lang w:val="de-DE"/>
              </w:rPr>
              <w:t xml:space="preserve">PwC </w:t>
            </w:r>
            <w:r w:rsidRPr="00A66484">
              <w:rPr>
                <w:rFonts w:ascii="Georgia" w:hAnsi="Georgia" w:cs="Arial"/>
                <w:color w:val="000000" w:themeColor="text1"/>
                <w:sz w:val="22"/>
                <w:szCs w:val="22"/>
                <w:lang w:val="de-DE"/>
              </w:rPr>
              <w:br/>
              <w:t>+1 (313) 394-6349</w:t>
            </w:r>
          </w:p>
          <w:p w:rsidR="004E73AB" w:rsidRPr="00A66484" w:rsidRDefault="008A188D" w:rsidP="00DC5B42">
            <w:pPr>
              <w:tabs>
                <w:tab w:val="left" w:pos="2880"/>
                <w:tab w:val="left" w:pos="6120"/>
              </w:tabs>
              <w:rPr>
                <w:rFonts w:ascii="Georgia" w:hAnsi="Georgia" w:cs="Arial"/>
                <w:color w:val="000000" w:themeColor="text1"/>
                <w:sz w:val="22"/>
                <w:szCs w:val="22"/>
                <w:lang w:val="de-DE"/>
              </w:rPr>
            </w:pPr>
            <w:hyperlink r:id="rId9" w:history="1">
              <w:r w:rsidR="004E73AB" w:rsidRPr="00A3229F">
                <w:rPr>
                  <w:rStyle w:val="Hyperlink"/>
                  <w:rFonts w:ascii="Georgia" w:hAnsi="Georgia" w:cs="Arial"/>
                  <w:sz w:val="22"/>
                  <w:szCs w:val="22"/>
                  <w:lang w:val="de-DE"/>
                </w:rPr>
                <w:t>kristin.m.ritter@us.pwc.com</w:t>
              </w:r>
            </w:hyperlink>
          </w:p>
        </w:tc>
        <w:tc>
          <w:tcPr>
            <w:tcW w:w="2941" w:type="dxa"/>
          </w:tcPr>
          <w:p w:rsidR="004E73AB" w:rsidRPr="000C4C97" w:rsidRDefault="004E73AB" w:rsidP="00C73592">
            <w:pPr>
              <w:tabs>
                <w:tab w:val="left" w:pos="2880"/>
                <w:tab w:val="left" w:pos="6120"/>
              </w:tabs>
              <w:rPr>
                <w:rFonts w:ascii="Georgia" w:hAnsi="Georgia" w:cs="Arial"/>
                <w:color w:val="000000" w:themeColor="text1"/>
                <w:sz w:val="20"/>
                <w:szCs w:val="20"/>
                <w:lang w:val="en-GB"/>
              </w:rPr>
            </w:pPr>
            <w:r>
              <w:rPr>
                <w:rFonts w:ascii="Georgia" w:hAnsi="Georgia" w:cs="Arial"/>
                <w:color w:val="000000" w:themeColor="text1"/>
                <w:sz w:val="20"/>
                <w:szCs w:val="20"/>
                <w:lang w:val="en-GB"/>
              </w:rPr>
              <w:t>Katura Hudson</w:t>
            </w:r>
          </w:p>
          <w:p w:rsidR="004E73AB" w:rsidRPr="000C4C97" w:rsidRDefault="004E73AB" w:rsidP="00C73592">
            <w:pPr>
              <w:tabs>
                <w:tab w:val="left" w:pos="2880"/>
                <w:tab w:val="left" w:pos="6120"/>
              </w:tabs>
              <w:rPr>
                <w:rFonts w:ascii="Georgia" w:hAnsi="Georgia" w:cs="Arial"/>
                <w:color w:val="000000" w:themeColor="text1"/>
                <w:sz w:val="20"/>
                <w:szCs w:val="20"/>
                <w:lang w:val="en-GB"/>
              </w:rPr>
            </w:pPr>
            <w:r w:rsidRPr="000C4C97">
              <w:rPr>
                <w:rFonts w:ascii="Georgia" w:hAnsi="Georgia" w:cs="Arial"/>
                <w:color w:val="000000" w:themeColor="text1"/>
                <w:sz w:val="20"/>
                <w:szCs w:val="20"/>
                <w:lang w:val="en-GB"/>
              </w:rPr>
              <w:t>PwC US</w:t>
            </w:r>
          </w:p>
          <w:p w:rsidR="004E73AB" w:rsidRPr="000C4C97" w:rsidRDefault="004E73AB" w:rsidP="00C73592">
            <w:pPr>
              <w:tabs>
                <w:tab w:val="left" w:pos="2880"/>
                <w:tab w:val="left" w:pos="6120"/>
              </w:tabs>
              <w:rPr>
                <w:rFonts w:ascii="Georgia" w:hAnsi="Georgia" w:cs="Arial"/>
                <w:color w:val="000000" w:themeColor="text1"/>
                <w:sz w:val="20"/>
                <w:szCs w:val="20"/>
                <w:lang w:val="en-GB"/>
              </w:rPr>
            </w:pPr>
            <w:r w:rsidRPr="000C4C97">
              <w:rPr>
                <w:rFonts w:ascii="Georgia" w:hAnsi="Georgia" w:cs="Arial"/>
                <w:color w:val="000000" w:themeColor="text1"/>
                <w:sz w:val="20"/>
                <w:szCs w:val="20"/>
                <w:lang w:val="en-GB"/>
              </w:rPr>
              <w:t>+1 (</w:t>
            </w:r>
            <w:r>
              <w:rPr>
                <w:rFonts w:ascii="Georgia" w:hAnsi="Georgia" w:cs="Arial"/>
                <w:color w:val="000000" w:themeColor="text1"/>
                <w:sz w:val="20"/>
                <w:szCs w:val="20"/>
                <w:lang w:val="en-GB"/>
              </w:rPr>
              <w:t>973</w:t>
            </w:r>
            <w:r w:rsidRPr="000C4C97">
              <w:rPr>
                <w:rFonts w:ascii="Georgia" w:hAnsi="Georgia" w:cs="Arial"/>
                <w:color w:val="000000" w:themeColor="text1"/>
                <w:sz w:val="20"/>
                <w:szCs w:val="20"/>
                <w:lang w:val="en-GB"/>
              </w:rPr>
              <w:t xml:space="preserve">) </w:t>
            </w:r>
            <w:r>
              <w:rPr>
                <w:rFonts w:ascii="Georgia" w:hAnsi="Georgia" w:cs="Arial"/>
                <w:color w:val="000000" w:themeColor="text1"/>
                <w:sz w:val="20"/>
                <w:szCs w:val="20"/>
                <w:lang w:val="en-GB"/>
              </w:rPr>
              <w:t>236-5807</w:t>
            </w:r>
          </w:p>
          <w:p w:rsidR="004E73AB" w:rsidRPr="000C4C97" w:rsidRDefault="004E73AB" w:rsidP="00C73592">
            <w:pPr>
              <w:tabs>
                <w:tab w:val="left" w:pos="2880"/>
                <w:tab w:val="left" w:pos="6120"/>
              </w:tabs>
              <w:rPr>
                <w:rFonts w:ascii="Georgia" w:hAnsi="Georgia" w:cs="Arial"/>
                <w:color w:val="000000" w:themeColor="text1"/>
                <w:sz w:val="20"/>
                <w:szCs w:val="20"/>
                <w:lang w:val="en-GB"/>
              </w:rPr>
            </w:pPr>
            <w:r>
              <w:rPr>
                <w:rFonts w:ascii="Georgia" w:hAnsi="Georgia" w:cs="Arial"/>
                <w:color w:val="000000" w:themeColor="text1"/>
                <w:sz w:val="20"/>
                <w:szCs w:val="20"/>
                <w:lang w:val="en-GB"/>
              </w:rPr>
              <w:t>katura.j.hudson</w:t>
            </w:r>
            <w:r w:rsidRPr="000C4C97">
              <w:rPr>
                <w:rFonts w:ascii="Georgia" w:hAnsi="Georgia" w:cs="Arial"/>
                <w:color w:val="000000" w:themeColor="text1"/>
                <w:sz w:val="20"/>
                <w:szCs w:val="20"/>
                <w:lang w:val="en-GB"/>
              </w:rPr>
              <w:t>@us.pwc.com</w:t>
            </w:r>
          </w:p>
        </w:tc>
        <w:tc>
          <w:tcPr>
            <w:tcW w:w="2941" w:type="dxa"/>
          </w:tcPr>
          <w:p w:rsidR="004E73AB" w:rsidRPr="00A66484" w:rsidRDefault="004E73AB" w:rsidP="00A66484">
            <w:pPr>
              <w:tabs>
                <w:tab w:val="left" w:pos="2880"/>
                <w:tab w:val="left" w:pos="6120"/>
              </w:tabs>
              <w:rPr>
                <w:rFonts w:ascii="Georgia" w:hAnsi="Georgia" w:cs="Arial"/>
                <w:color w:val="000000" w:themeColor="text1"/>
                <w:sz w:val="22"/>
                <w:szCs w:val="22"/>
              </w:rPr>
            </w:pPr>
            <w:r w:rsidRPr="00A66484">
              <w:rPr>
                <w:rFonts w:ascii="Georgia" w:hAnsi="Georgia" w:cs="Arial"/>
                <w:color w:val="000000" w:themeColor="text1"/>
                <w:sz w:val="22"/>
                <w:szCs w:val="22"/>
              </w:rPr>
              <w:tab/>
            </w:r>
          </w:p>
        </w:tc>
      </w:tr>
    </w:tbl>
    <w:p w:rsidR="00A66484" w:rsidRDefault="00A66484">
      <w:pPr>
        <w:ind w:left="360"/>
        <w:outlineLvl w:val="0"/>
        <w:rPr>
          <w:rFonts w:ascii="Georgia" w:hAnsi="Georgia" w:cs="Arial"/>
          <w:b/>
        </w:rPr>
      </w:pPr>
    </w:p>
    <w:p w:rsidR="00D8696B" w:rsidRDefault="00D10423">
      <w:pPr>
        <w:ind w:left="360"/>
        <w:outlineLvl w:val="0"/>
        <w:rPr>
          <w:rFonts w:ascii="Georgia" w:hAnsi="Georgia" w:cs="Arial"/>
          <w:b/>
        </w:rPr>
      </w:pPr>
      <w:r>
        <w:rPr>
          <w:rFonts w:ascii="Georgia" w:hAnsi="Georgia" w:cs="Arial"/>
          <w:b/>
        </w:rPr>
        <w:t>FOR IMMEDIATE RELEASE</w:t>
      </w:r>
    </w:p>
    <w:p w:rsidR="00D8696B" w:rsidRDefault="00D8696B">
      <w:pPr>
        <w:ind w:left="360"/>
        <w:rPr>
          <w:rFonts w:ascii="Georgia" w:hAnsi="Georgia" w:cs="Arial"/>
          <w:smallCaps/>
        </w:rPr>
      </w:pPr>
    </w:p>
    <w:p w:rsidR="00D8696B" w:rsidRDefault="000B01BA">
      <w:pPr>
        <w:ind w:left="360"/>
        <w:jc w:val="center"/>
        <w:rPr>
          <w:rFonts w:ascii="Georgia" w:hAnsi="Georgia" w:cs="Arial"/>
          <w:b/>
          <w:sz w:val="28"/>
          <w:szCs w:val="28"/>
        </w:rPr>
      </w:pPr>
      <w:r>
        <w:rPr>
          <w:rFonts w:ascii="Georgia" w:hAnsi="Georgia" w:cs="Arial"/>
          <w:b/>
          <w:sz w:val="28"/>
          <w:szCs w:val="28"/>
        </w:rPr>
        <w:t>PwC's Autofacts F</w:t>
      </w:r>
      <w:r w:rsidR="00F85C41">
        <w:rPr>
          <w:rFonts w:ascii="Georgia" w:hAnsi="Georgia" w:cs="Arial"/>
          <w:b/>
          <w:sz w:val="28"/>
          <w:szCs w:val="28"/>
        </w:rPr>
        <w:t>orecasts 2013</w:t>
      </w:r>
      <w:r w:rsidR="00D10423">
        <w:rPr>
          <w:rFonts w:ascii="Georgia" w:hAnsi="Georgia" w:cs="Arial"/>
          <w:b/>
          <w:sz w:val="28"/>
          <w:szCs w:val="28"/>
        </w:rPr>
        <w:t xml:space="preserve"> </w:t>
      </w:r>
      <w:r>
        <w:rPr>
          <w:rFonts w:ascii="Georgia" w:hAnsi="Georgia" w:cs="Arial"/>
          <w:b/>
          <w:sz w:val="28"/>
          <w:szCs w:val="28"/>
        </w:rPr>
        <w:t>G</w:t>
      </w:r>
      <w:r w:rsidR="00D10423">
        <w:rPr>
          <w:rFonts w:ascii="Georgia" w:hAnsi="Georgia" w:cs="Arial"/>
          <w:b/>
          <w:sz w:val="28"/>
          <w:szCs w:val="28"/>
        </w:rPr>
        <w:t xml:space="preserve">lobal </w:t>
      </w:r>
      <w:r>
        <w:rPr>
          <w:rFonts w:ascii="Georgia" w:hAnsi="Georgia" w:cs="Arial"/>
          <w:b/>
          <w:sz w:val="28"/>
          <w:szCs w:val="28"/>
        </w:rPr>
        <w:t>A</w:t>
      </w:r>
      <w:r w:rsidR="00D10423">
        <w:rPr>
          <w:rFonts w:ascii="Georgia" w:hAnsi="Georgia" w:cs="Arial"/>
          <w:b/>
          <w:sz w:val="28"/>
          <w:szCs w:val="28"/>
        </w:rPr>
        <w:t xml:space="preserve">utomotive </w:t>
      </w:r>
      <w:r>
        <w:rPr>
          <w:rFonts w:ascii="Georgia" w:hAnsi="Georgia" w:cs="Arial"/>
          <w:b/>
          <w:sz w:val="28"/>
          <w:szCs w:val="28"/>
        </w:rPr>
        <w:t>L</w:t>
      </w:r>
      <w:r w:rsidR="00D10423">
        <w:rPr>
          <w:rFonts w:ascii="Georgia" w:hAnsi="Georgia" w:cs="Arial"/>
          <w:b/>
          <w:sz w:val="28"/>
          <w:szCs w:val="28"/>
        </w:rPr>
        <w:t xml:space="preserve">ight </w:t>
      </w:r>
      <w:r>
        <w:rPr>
          <w:rFonts w:ascii="Georgia" w:hAnsi="Georgia" w:cs="Arial"/>
          <w:b/>
          <w:sz w:val="28"/>
          <w:szCs w:val="28"/>
        </w:rPr>
        <w:t>V</w:t>
      </w:r>
      <w:r w:rsidR="00D10423">
        <w:rPr>
          <w:rFonts w:ascii="Georgia" w:hAnsi="Georgia" w:cs="Arial"/>
          <w:b/>
          <w:sz w:val="28"/>
          <w:szCs w:val="28"/>
        </w:rPr>
        <w:t xml:space="preserve">ehicle </w:t>
      </w:r>
      <w:r>
        <w:rPr>
          <w:rFonts w:ascii="Georgia" w:hAnsi="Georgia" w:cs="Arial"/>
          <w:b/>
          <w:sz w:val="28"/>
          <w:szCs w:val="28"/>
        </w:rPr>
        <w:t>A</w:t>
      </w:r>
      <w:r w:rsidR="00D10423">
        <w:rPr>
          <w:rFonts w:ascii="Georgia" w:hAnsi="Georgia" w:cs="Arial"/>
          <w:b/>
          <w:sz w:val="28"/>
          <w:szCs w:val="28"/>
        </w:rPr>
        <w:t xml:space="preserve">ssembly to </w:t>
      </w:r>
      <w:r>
        <w:rPr>
          <w:rFonts w:ascii="Georgia" w:hAnsi="Georgia" w:cs="Arial"/>
          <w:b/>
          <w:sz w:val="28"/>
          <w:szCs w:val="28"/>
        </w:rPr>
        <w:t>E</w:t>
      </w:r>
      <w:r w:rsidR="00E81A73">
        <w:rPr>
          <w:rFonts w:ascii="Georgia" w:hAnsi="Georgia" w:cs="Arial"/>
          <w:b/>
          <w:sz w:val="28"/>
          <w:szCs w:val="28"/>
        </w:rPr>
        <w:t>xceed 83</w:t>
      </w:r>
      <w:r w:rsidR="00D10423">
        <w:rPr>
          <w:rFonts w:ascii="Georgia" w:hAnsi="Georgia" w:cs="Arial"/>
          <w:b/>
          <w:sz w:val="28"/>
          <w:szCs w:val="28"/>
        </w:rPr>
        <w:t xml:space="preserve"> </w:t>
      </w:r>
      <w:r>
        <w:rPr>
          <w:rFonts w:ascii="Georgia" w:hAnsi="Georgia" w:cs="Arial"/>
          <w:b/>
          <w:sz w:val="28"/>
          <w:szCs w:val="28"/>
        </w:rPr>
        <w:t>M</w:t>
      </w:r>
      <w:r w:rsidR="00D10423">
        <w:rPr>
          <w:rFonts w:ascii="Georgia" w:hAnsi="Georgia" w:cs="Arial"/>
          <w:b/>
          <w:sz w:val="28"/>
          <w:szCs w:val="28"/>
        </w:rPr>
        <w:t xml:space="preserve">illion </w:t>
      </w:r>
      <w:r>
        <w:rPr>
          <w:rFonts w:ascii="Georgia" w:hAnsi="Georgia" w:cs="Arial"/>
          <w:b/>
          <w:sz w:val="28"/>
          <w:szCs w:val="28"/>
        </w:rPr>
        <w:t>U</w:t>
      </w:r>
      <w:r w:rsidR="00D10423">
        <w:rPr>
          <w:rFonts w:ascii="Georgia" w:hAnsi="Georgia" w:cs="Arial"/>
          <w:b/>
          <w:sz w:val="28"/>
          <w:szCs w:val="28"/>
        </w:rPr>
        <w:t xml:space="preserve">nits and </w:t>
      </w:r>
      <w:r>
        <w:rPr>
          <w:rFonts w:ascii="Georgia" w:hAnsi="Georgia" w:cs="Arial"/>
          <w:b/>
          <w:sz w:val="28"/>
          <w:szCs w:val="28"/>
        </w:rPr>
        <w:t>T</w:t>
      </w:r>
      <w:r w:rsidR="00F85C41">
        <w:rPr>
          <w:rFonts w:ascii="Georgia" w:hAnsi="Georgia" w:cs="Arial"/>
          <w:b/>
          <w:sz w:val="28"/>
          <w:szCs w:val="28"/>
        </w:rPr>
        <w:t>op 107</w:t>
      </w:r>
      <w:r w:rsidR="00D10423">
        <w:rPr>
          <w:rFonts w:ascii="Georgia" w:hAnsi="Georgia" w:cs="Arial"/>
          <w:b/>
          <w:sz w:val="28"/>
          <w:szCs w:val="28"/>
        </w:rPr>
        <w:t xml:space="preserve"> </w:t>
      </w:r>
      <w:r>
        <w:rPr>
          <w:rFonts w:ascii="Georgia" w:hAnsi="Georgia" w:cs="Arial"/>
          <w:b/>
          <w:sz w:val="28"/>
          <w:szCs w:val="28"/>
        </w:rPr>
        <w:t>M</w:t>
      </w:r>
      <w:r w:rsidR="00F85C41">
        <w:rPr>
          <w:rFonts w:ascii="Georgia" w:hAnsi="Georgia" w:cs="Arial"/>
          <w:b/>
          <w:sz w:val="28"/>
          <w:szCs w:val="28"/>
        </w:rPr>
        <w:t>illion by 2019</w:t>
      </w:r>
    </w:p>
    <w:p w:rsidR="00D8696B" w:rsidRDefault="00D8696B">
      <w:pPr>
        <w:ind w:left="360"/>
        <w:rPr>
          <w:rFonts w:ascii="Georgia" w:hAnsi="Georgia" w:cs="Arial"/>
        </w:rPr>
      </w:pPr>
    </w:p>
    <w:p w:rsidR="00D8696B" w:rsidRDefault="00E81A73">
      <w:pPr>
        <w:ind w:left="360"/>
        <w:jc w:val="center"/>
        <w:rPr>
          <w:rFonts w:ascii="Georgia" w:hAnsi="Georgia" w:cs="Arial"/>
          <w:b/>
          <w:i/>
        </w:rPr>
      </w:pPr>
      <w:r>
        <w:rPr>
          <w:rFonts w:ascii="Georgia" w:hAnsi="Georgia" w:cs="Arial"/>
          <w:b/>
          <w:i/>
        </w:rPr>
        <w:t>BRIC markets and North America driving growth, EU and Japan remain areas of concern</w:t>
      </w:r>
    </w:p>
    <w:p w:rsidR="00D8696B" w:rsidRDefault="00D8696B">
      <w:pPr>
        <w:ind w:left="360"/>
        <w:jc w:val="center"/>
        <w:rPr>
          <w:rFonts w:ascii="Georgia" w:hAnsi="Georgia" w:cs="Arial"/>
          <w:i/>
          <w:sz w:val="22"/>
          <w:szCs w:val="22"/>
        </w:rPr>
      </w:pPr>
    </w:p>
    <w:p w:rsidR="00D8696B" w:rsidRPr="0048527C" w:rsidRDefault="00D369C7">
      <w:pPr>
        <w:pStyle w:val="ProfileBodyText"/>
        <w:ind w:left="360"/>
        <w:rPr>
          <w:rFonts w:ascii="Georgia" w:hAnsi="Georgia"/>
          <w:sz w:val="24"/>
        </w:rPr>
      </w:pPr>
      <w:r>
        <w:rPr>
          <w:rFonts w:ascii="Georgia" w:hAnsi="Georgia" w:cs="Arial"/>
          <w:b/>
          <w:bCs/>
          <w:sz w:val="24"/>
        </w:rPr>
        <w:t xml:space="preserve">DETROIT, JAN. </w:t>
      </w:r>
      <w:r w:rsidR="004E73AB">
        <w:rPr>
          <w:rFonts w:ascii="Georgia" w:hAnsi="Georgia" w:cs="Arial"/>
          <w:b/>
          <w:bCs/>
          <w:sz w:val="24"/>
        </w:rPr>
        <w:t>21</w:t>
      </w:r>
      <w:r w:rsidR="00E81A73">
        <w:rPr>
          <w:rFonts w:ascii="Georgia" w:hAnsi="Georgia" w:cs="Arial"/>
          <w:b/>
          <w:bCs/>
          <w:sz w:val="24"/>
        </w:rPr>
        <w:t>, 2013</w:t>
      </w:r>
      <w:r w:rsidR="00D10423" w:rsidRPr="0048527C">
        <w:rPr>
          <w:rFonts w:ascii="Georgia" w:hAnsi="Georgia" w:cs="Arial"/>
          <w:b/>
          <w:bCs/>
          <w:sz w:val="24"/>
        </w:rPr>
        <w:t xml:space="preserve"> </w:t>
      </w:r>
      <w:r w:rsidR="00D10423" w:rsidRPr="0048527C">
        <w:rPr>
          <w:rFonts w:ascii="Georgia" w:hAnsi="Georgia" w:cs="Arial"/>
          <w:sz w:val="24"/>
        </w:rPr>
        <w:t>―</w:t>
      </w:r>
      <w:r w:rsidR="00D10423" w:rsidRPr="0048527C">
        <w:rPr>
          <w:rFonts w:ascii="Georgia" w:hAnsi="Georgia" w:cs="Arial"/>
          <w:bCs/>
          <w:sz w:val="24"/>
        </w:rPr>
        <w:t xml:space="preserve"> PwC's automotive analyst group, </w:t>
      </w:r>
      <w:r w:rsidR="000B01BA">
        <w:rPr>
          <w:rFonts w:ascii="Georgia" w:hAnsi="Georgia" w:cs="Arial"/>
          <w:bCs/>
          <w:sz w:val="24"/>
        </w:rPr>
        <w:t xml:space="preserve">Autofacts, today </w:t>
      </w:r>
      <w:r w:rsidR="00E81A73">
        <w:rPr>
          <w:rFonts w:ascii="Georgia" w:hAnsi="Georgia" w:cs="Arial"/>
          <w:bCs/>
          <w:sz w:val="24"/>
        </w:rPr>
        <w:t>announced that it expects 2013</w:t>
      </w:r>
      <w:r w:rsidR="00D10423" w:rsidRPr="0048527C">
        <w:rPr>
          <w:rFonts w:ascii="Georgia" w:hAnsi="Georgia" w:cs="Arial"/>
          <w:bCs/>
          <w:sz w:val="24"/>
        </w:rPr>
        <w:t xml:space="preserve"> global light vehicle assembly will ex</w:t>
      </w:r>
      <w:r w:rsidR="00E81A73">
        <w:rPr>
          <w:rFonts w:ascii="Georgia" w:hAnsi="Georgia" w:cs="Arial"/>
          <w:bCs/>
          <w:sz w:val="24"/>
        </w:rPr>
        <w:t>ceed 83</w:t>
      </w:r>
      <w:r w:rsidR="00D10423" w:rsidRPr="0048527C">
        <w:rPr>
          <w:rFonts w:ascii="Georgia" w:hAnsi="Georgia" w:cs="Arial"/>
          <w:bCs/>
          <w:sz w:val="24"/>
        </w:rPr>
        <w:t xml:space="preserve"> m</w:t>
      </w:r>
      <w:r w:rsidR="00E81A73">
        <w:rPr>
          <w:rFonts w:ascii="Georgia" w:hAnsi="Georgia" w:cs="Arial"/>
          <w:bCs/>
          <w:sz w:val="24"/>
        </w:rPr>
        <w:t>illion units, an increase of 5.1</w:t>
      </w:r>
      <w:r w:rsidR="009F1C74">
        <w:rPr>
          <w:rFonts w:ascii="Georgia" w:hAnsi="Georgia" w:cs="Arial"/>
          <w:bCs/>
          <w:sz w:val="24"/>
        </w:rPr>
        <w:t xml:space="preserve"> percent</w:t>
      </w:r>
      <w:r w:rsidR="00E81A73">
        <w:rPr>
          <w:rFonts w:ascii="Georgia" w:hAnsi="Georgia" w:cs="Arial"/>
          <w:bCs/>
          <w:sz w:val="24"/>
        </w:rPr>
        <w:t xml:space="preserve"> from 2012</w:t>
      </w:r>
      <w:r w:rsidR="00D10423" w:rsidRPr="0048527C">
        <w:rPr>
          <w:rFonts w:ascii="Georgia" w:hAnsi="Georgia" w:cs="Arial"/>
          <w:bCs/>
          <w:sz w:val="24"/>
        </w:rPr>
        <w:t>’s total</w:t>
      </w:r>
      <w:r>
        <w:rPr>
          <w:rFonts w:ascii="Georgia" w:hAnsi="Georgia"/>
          <w:sz w:val="24"/>
        </w:rPr>
        <w:t xml:space="preserve">.  </w:t>
      </w:r>
      <w:r w:rsidR="00D10423" w:rsidRPr="0048527C">
        <w:rPr>
          <w:rFonts w:ascii="Georgia" w:hAnsi="Georgia"/>
          <w:sz w:val="24"/>
        </w:rPr>
        <w:t>Autofacts</w:t>
      </w:r>
      <w:r w:rsidR="00D03C3C">
        <w:rPr>
          <w:rFonts w:ascii="Georgia" w:hAnsi="Georgia"/>
          <w:sz w:val="24"/>
        </w:rPr>
        <w:t xml:space="preserve"> expects the global market to remain positive overall, while the Euro</w:t>
      </w:r>
      <w:r>
        <w:rPr>
          <w:rFonts w:ascii="Georgia" w:hAnsi="Georgia"/>
          <w:sz w:val="24"/>
        </w:rPr>
        <w:t>pean Union and Japan will continue</w:t>
      </w:r>
      <w:r w:rsidR="00D03C3C">
        <w:rPr>
          <w:rFonts w:ascii="Georgia" w:hAnsi="Georgia"/>
          <w:sz w:val="24"/>
        </w:rPr>
        <w:t xml:space="preserve"> </w:t>
      </w:r>
      <w:r>
        <w:rPr>
          <w:rFonts w:ascii="Georgia" w:hAnsi="Georgia"/>
          <w:sz w:val="24"/>
        </w:rPr>
        <w:t xml:space="preserve">to be </w:t>
      </w:r>
      <w:r w:rsidR="00D03C3C">
        <w:rPr>
          <w:rFonts w:ascii="Georgia" w:hAnsi="Georgia"/>
          <w:sz w:val="24"/>
        </w:rPr>
        <w:t xml:space="preserve">areas of </w:t>
      </w:r>
      <w:r>
        <w:rPr>
          <w:rFonts w:ascii="Georgia" w:hAnsi="Georgia"/>
          <w:sz w:val="24"/>
        </w:rPr>
        <w:t>concern.</w:t>
      </w:r>
    </w:p>
    <w:p w:rsidR="00D8696B" w:rsidRPr="0048527C" w:rsidRDefault="00F85C41">
      <w:pPr>
        <w:pStyle w:val="ProfileBodyText"/>
        <w:ind w:left="360"/>
        <w:rPr>
          <w:rFonts w:ascii="Georgia" w:hAnsi="Georgia"/>
          <w:sz w:val="24"/>
        </w:rPr>
      </w:pPr>
      <w:r>
        <w:rPr>
          <w:rFonts w:ascii="Georgia" w:hAnsi="Georgia" w:cs="Arial"/>
          <w:b/>
          <w:bCs/>
          <w:sz w:val="24"/>
        </w:rPr>
        <w:t>Megatrends driving the global automotive industry:</w:t>
      </w:r>
    </w:p>
    <w:p w:rsidR="00F85C41" w:rsidRPr="00F85C41" w:rsidRDefault="00F85C41" w:rsidP="00F85C41">
      <w:pPr>
        <w:pStyle w:val="ProfileBodyText"/>
        <w:numPr>
          <w:ilvl w:val="0"/>
          <w:numId w:val="12"/>
        </w:numPr>
        <w:rPr>
          <w:rFonts w:ascii="Georgia" w:hAnsi="Georgia"/>
          <w:bCs/>
          <w:sz w:val="24"/>
        </w:rPr>
      </w:pPr>
      <w:r w:rsidRPr="00F85C41">
        <w:rPr>
          <w:rFonts w:ascii="Georgia" w:hAnsi="Georgia" w:cs="Arial"/>
          <w:b/>
          <w:bCs/>
          <w:sz w:val="24"/>
          <w:u w:val="single"/>
          <w:lang w:val="en-GB"/>
        </w:rPr>
        <w:t>European Union.</w:t>
      </w:r>
      <w:r w:rsidRPr="00F85C41">
        <w:rPr>
          <w:rFonts w:ascii="Georgia" w:hAnsi="Georgia" w:cs="Arial"/>
          <w:bCs/>
          <w:sz w:val="24"/>
          <w:lang w:val="en-GB"/>
        </w:rPr>
        <w:t xml:space="preserve"> </w:t>
      </w:r>
      <w:r w:rsidR="00E81A73">
        <w:rPr>
          <w:rFonts w:ascii="Georgia" w:hAnsi="Georgia"/>
          <w:bCs/>
          <w:sz w:val="24"/>
          <w:lang w:val="en-GB"/>
        </w:rPr>
        <w:t>The European o</w:t>
      </w:r>
      <w:r w:rsidRPr="00F85C41">
        <w:rPr>
          <w:rFonts w:ascii="Georgia" w:hAnsi="Georgia"/>
          <w:bCs/>
          <w:sz w:val="24"/>
          <w:lang w:val="en-GB"/>
        </w:rPr>
        <w:t xml:space="preserve">utlook remains a significant concern for the automotive industry, both in terms of its regional importance as well as the threat of a global contagion scenario.  </w:t>
      </w:r>
      <w:r w:rsidR="00E81A73" w:rsidRPr="00F85C41">
        <w:rPr>
          <w:rFonts w:ascii="Georgia" w:hAnsi="Georgia"/>
          <w:bCs/>
          <w:sz w:val="24"/>
          <w:lang w:val="en-GB"/>
        </w:rPr>
        <w:t>While there</w:t>
      </w:r>
      <w:r w:rsidRPr="00F85C41">
        <w:rPr>
          <w:rFonts w:ascii="Georgia" w:hAnsi="Georgia"/>
          <w:bCs/>
          <w:sz w:val="24"/>
          <w:lang w:val="en-GB"/>
        </w:rPr>
        <w:t xml:space="preserve"> continues to be fluctuation below the topline, the region as a whole is expected to see a further, albeit slower, decline in 2013.  Most marke</w:t>
      </w:r>
      <w:r w:rsidR="00B20CFE">
        <w:rPr>
          <w:rFonts w:ascii="Georgia" w:hAnsi="Georgia"/>
          <w:bCs/>
          <w:sz w:val="24"/>
          <w:lang w:val="en-GB"/>
        </w:rPr>
        <w:t>ts will</w:t>
      </w:r>
      <w:r w:rsidR="004739FA">
        <w:rPr>
          <w:rFonts w:ascii="Georgia" w:hAnsi="Georgia"/>
          <w:bCs/>
          <w:sz w:val="24"/>
          <w:lang w:val="en-GB"/>
        </w:rPr>
        <w:t xml:space="preserve"> likely</w:t>
      </w:r>
      <w:r w:rsidR="00B20CFE">
        <w:rPr>
          <w:rFonts w:ascii="Georgia" w:hAnsi="Georgia"/>
          <w:bCs/>
          <w:sz w:val="24"/>
          <w:lang w:val="en-GB"/>
        </w:rPr>
        <w:t xml:space="preserve"> see a depressed </w:t>
      </w:r>
      <w:r w:rsidR="009F1C74">
        <w:rPr>
          <w:rFonts w:ascii="Georgia" w:hAnsi="Georgia"/>
          <w:bCs/>
          <w:sz w:val="24"/>
          <w:lang w:val="en-GB"/>
        </w:rPr>
        <w:t>first half of 2012</w:t>
      </w:r>
      <w:r w:rsidR="00B20CFE">
        <w:rPr>
          <w:rFonts w:ascii="Georgia" w:hAnsi="Georgia"/>
          <w:bCs/>
          <w:sz w:val="24"/>
          <w:lang w:val="en-GB"/>
        </w:rPr>
        <w:t xml:space="preserve"> </w:t>
      </w:r>
      <w:r w:rsidRPr="00F85C41">
        <w:rPr>
          <w:rFonts w:ascii="Georgia" w:hAnsi="Georgia"/>
          <w:bCs/>
          <w:sz w:val="24"/>
          <w:lang w:val="en-GB"/>
        </w:rPr>
        <w:t>with some territories realizing a slight recovery as economic conditions begin to improve towards the end of the year.</w:t>
      </w:r>
      <w:r w:rsidR="00E0094A">
        <w:rPr>
          <w:rFonts w:ascii="Georgia" w:hAnsi="Georgia"/>
          <w:bCs/>
          <w:sz w:val="24"/>
          <w:lang w:val="en-GB"/>
        </w:rPr>
        <w:t xml:space="preserve"> </w:t>
      </w:r>
      <w:r w:rsidR="006C2308">
        <w:rPr>
          <w:rFonts w:ascii="Georgia" w:hAnsi="Georgia"/>
          <w:bCs/>
          <w:sz w:val="24"/>
          <w:lang w:val="en-GB"/>
        </w:rPr>
        <w:t>With this in mind, Autofacts is forecasting EU assembly of 15.6 million units in 2013, a decline of 200k units compared to 2012.</w:t>
      </w:r>
    </w:p>
    <w:p w:rsidR="00E7221C" w:rsidRPr="00F85C41" w:rsidRDefault="00F85C41" w:rsidP="00F85C41">
      <w:pPr>
        <w:pStyle w:val="ProfileBodyText"/>
        <w:numPr>
          <w:ilvl w:val="0"/>
          <w:numId w:val="12"/>
        </w:numPr>
        <w:rPr>
          <w:rFonts w:ascii="Georgia" w:hAnsi="Georgia"/>
          <w:bCs/>
          <w:sz w:val="24"/>
        </w:rPr>
      </w:pPr>
      <w:r>
        <w:rPr>
          <w:rFonts w:ascii="Georgia" w:hAnsi="Georgia" w:cs="Arial"/>
          <w:b/>
          <w:bCs/>
          <w:sz w:val="24"/>
          <w:u w:val="single"/>
          <w:lang w:val="en-GB"/>
        </w:rPr>
        <w:t>North America.</w:t>
      </w:r>
      <w:r>
        <w:rPr>
          <w:rFonts w:ascii="Georgia" w:hAnsi="Georgia"/>
          <w:bCs/>
          <w:sz w:val="24"/>
        </w:rPr>
        <w:t xml:space="preserve">  </w:t>
      </w:r>
      <w:r w:rsidR="00185438" w:rsidRPr="00F85C41">
        <w:rPr>
          <w:rFonts w:ascii="Georgia" w:hAnsi="Georgia"/>
          <w:bCs/>
          <w:sz w:val="24"/>
        </w:rPr>
        <w:t xml:space="preserve">While 2012 was a boom year for the region, sales and assembly growth are expected to taper in 2013.  </w:t>
      </w:r>
      <w:r w:rsidR="006C2308">
        <w:rPr>
          <w:rFonts w:ascii="Georgia" w:hAnsi="Georgia"/>
          <w:bCs/>
          <w:sz w:val="24"/>
        </w:rPr>
        <w:t>P</w:t>
      </w:r>
      <w:r w:rsidR="00185438" w:rsidRPr="00F85C41">
        <w:rPr>
          <w:rFonts w:ascii="Georgia" w:hAnsi="Georgia"/>
          <w:bCs/>
          <w:sz w:val="24"/>
        </w:rPr>
        <w:t xml:space="preserve">ent-up demand continues to exist in the market with the average fleet age in the U.S. at </w:t>
      </w:r>
      <w:r w:rsidR="009F1C74">
        <w:rPr>
          <w:rFonts w:ascii="Georgia" w:hAnsi="Georgia"/>
          <w:bCs/>
          <w:sz w:val="24"/>
        </w:rPr>
        <w:t xml:space="preserve">approximately </w:t>
      </w:r>
      <w:r w:rsidR="00185438" w:rsidRPr="00F85C41">
        <w:rPr>
          <w:rFonts w:ascii="Georgia" w:hAnsi="Georgia"/>
          <w:bCs/>
          <w:sz w:val="24"/>
        </w:rPr>
        <w:t xml:space="preserve">11 years. </w:t>
      </w:r>
      <w:r w:rsidR="006C2308">
        <w:rPr>
          <w:rFonts w:ascii="Georgia" w:hAnsi="Georgia"/>
          <w:bCs/>
          <w:sz w:val="24"/>
        </w:rPr>
        <w:t>U.S. sales are expected to reach 15.3 million units in 2013, up from 14.4 million units in 2012.  In terms of assembly for the region, Autofacts is forecasting 15.8 million units for 2013, up from 15.4 million units in 2012.</w:t>
      </w:r>
    </w:p>
    <w:p w:rsidR="00E7221C" w:rsidRPr="00F85C41" w:rsidRDefault="00F85C41" w:rsidP="00F85C41">
      <w:pPr>
        <w:pStyle w:val="ProfileBodyText"/>
        <w:numPr>
          <w:ilvl w:val="0"/>
          <w:numId w:val="12"/>
        </w:numPr>
        <w:rPr>
          <w:rFonts w:ascii="Georgia" w:hAnsi="Georgia"/>
          <w:bCs/>
          <w:sz w:val="24"/>
        </w:rPr>
      </w:pPr>
      <w:r>
        <w:rPr>
          <w:rFonts w:ascii="Georgia" w:hAnsi="Georgia"/>
          <w:b/>
          <w:bCs/>
          <w:sz w:val="24"/>
          <w:u w:val="single"/>
        </w:rPr>
        <w:t>BRIC</w:t>
      </w:r>
      <w:r w:rsidR="00D369C7">
        <w:rPr>
          <w:rFonts w:ascii="Georgia" w:hAnsi="Georgia"/>
          <w:b/>
          <w:bCs/>
          <w:sz w:val="24"/>
          <w:u w:val="single"/>
        </w:rPr>
        <w:t xml:space="preserve"> Recovery</w:t>
      </w:r>
      <w:r>
        <w:rPr>
          <w:rFonts w:ascii="Georgia" w:hAnsi="Georgia"/>
          <w:b/>
          <w:bCs/>
          <w:sz w:val="24"/>
          <w:u w:val="single"/>
        </w:rPr>
        <w:t>.</w:t>
      </w:r>
      <w:r>
        <w:rPr>
          <w:rFonts w:ascii="Georgia" w:hAnsi="Georgia"/>
          <w:bCs/>
          <w:sz w:val="24"/>
        </w:rPr>
        <w:t xml:space="preserve">  </w:t>
      </w:r>
      <w:r w:rsidR="00185438" w:rsidRPr="00F85C41">
        <w:rPr>
          <w:rFonts w:ascii="Georgia" w:hAnsi="Georgia"/>
          <w:bCs/>
          <w:sz w:val="24"/>
        </w:rPr>
        <w:t>After a relatively slow growth year in 2012, BRIC markets are expected to start heating up again in 2013.  As expected, China will lead the way with 2013 assembly forecasted to reach 18.9m units, up from 16.4</w:t>
      </w:r>
      <w:r w:rsidR="009F1C74">
        <w:rPr>
          <w:rFonts w:ascii="Georgia" w:hAnsi="Georgia"/>
          <w:bCs/>
          <w:sz w:val="24"/>
        </w:rPr>
        <w:t xml:space="preserve"> </w:t>
      </w:r>
      <w:r w:rsidR="00185438" w:rsidRPr="00F85C41">
        <w:rPr>
          <w:rFonts w:ascii="Georgia" w:hAnsi="Georgia"/>
          <w:bCs/>
          <w:sz w:val="24"/>
        </w:rPr>
        <w:t>m</w:t>
      </w:r>
      <w:r w:rsidR="009F1C74">
        <w:rPr>
          <w:rFonts w:ascii="Georgia" w:hAnsi="Georgia"/>
          <w:bCs/>
          <w:sz w:val="24"/>
        </w:rPr>
        <w:t>illion</w:t>
      </w:r>
      <w:r w:rsidR="00185438" w:rsidRPr="00F85C41">
        <w:rPr>
          <w:rFonts w:ascii="Georgia" w:hAnsi="Georgia"/>
          <w:bCs/>
          <w:sz w:val="24"/>
        </w:rPr>
        <w:t xml:space="preserve"> in 2012. </w:t>
      </w:r>
    </w:p>
    <w:p w:rsidR="00F85C41" w:rsidRDefault="00F85C41" w:rsidP="00E81A73">
      <w:pPr>
        <w:pStyle w:val="ProfileBodyText"/>
        <w:numPr>
          <w:ilvl w:val="0"/>
          <w:numId w:val="12"/>
        </w:numPr>
        <w:rPr>
          <w:rFonts w:ascii="Georgia" w:hAnsi="Georgia"/>
          <w:bCs/>
        </w:rPr>
      </w:pPr>
      <w:r>
        <w:rPr>
          <w:rFonts w:ascii="Georgia" w:hAnsi="Georgia"/>
          <w:b/>
          <w:bCs/>
          <w:sz w:val="24"/>
          <w:u w:val="single"/>
        </w:rPr>
        <w:t>Global Emission Standards.</w:t>
      </w:r>
      <w:r>
        <w:rPr>
          <w:rFonts w:ascii="Georgia" w:hAnsi="Georgia"/>
          <w:bCs/>
          <w:sz w:val="24"/>
        </w:rPr>
        <w:t xml:space="preserve"> </w:t>
      </w:r>
      <w:r w:rsidR="00185438" w:rsidRPr="00E81A73">
        <w:rPr>
          <w:rFonts w:ascii="Georgia" w:hAnsi="Georgia"/>
          <w:bCs/>
          <w:sz w:val="24"/>
        </w:rPr>
        <w:t>Increasingly stringent emission standards continue to drive innovation around improving vehicle efficiency.  Improving existing technologies, while</w:t>
      </w:r>
      <w:r w:rsidR="00E81A73">
        <w:rPr>
          <w:rFonts w:ascii="Georgia" w:hAnsi="Georgia"/>
          <w:bCs/>
          <w:sz w:val="24"/>
        </w:rPr>
        <w:t xml:space="preserve"> exploring new opportunities are</w:t>
      </w:r>
      <w:r w:rsidR="00185438" w:rsidRPr="00E81A73">
        <w:rPr>
          <w:rFonts w:ascii="Georgia" w:hAnsi="Georgia"/>
          <w:bCs/>
          <w:sz w:val="24"/>
        </w:rPr>
        <w:t xml:space="preserve"> playing a significant role across multiple industry sectors.</w:t>
      </w:r>
      <w:r w:rsidR="00185438" w:rsidRPr="00F85C41">
        <w:rPr>
          <w:rFonts w:ascii="Georgia" w:hAnsi="Georgia"/>
          <w:bCs/>
        </w:rPr>
        <w:t xml:space="preserve"> </w:t>
      </w:r>
    </w:p>
    <w:p w:rsidR="0080277B" w:rsidRDefault="0080277B" w:rsidP="0080277B">
      <w:pPr>
        <w:pStyle w:val="ProfileBodyText"/>
        <w:ind w:left="720"/>
        <w:jc w:val="center"/>
        <w:rPr>
          <w:rFonts w:ascii="Georgia" w:hAnsi="Georgia" w:cs="Arial"/>
          <w:b/>
          <w:bCs/>
          <w:sz w:val="24"/>
          <w:lang w:val="en-GB"/>
        </w:rPr>
      </w:pPr>
      <w:r w:rsidRPr="00DD2F94">
        <w:rPr>
          <w:rFonts w:ascii="Georgia" w:hAnsi="Georgia" w:cs="Arial"/>
          <w:b/>
          <w:bCs/>
          <w:sz w:val="24"/>
          <w:lang w:val="en-GB"/>
        </w:rPr>
        <w:t>--more--</w:t>
      </w:r>
    </w:p>
    <w:p w:rsidR="0080277B" w:rsidRDefault="0080277B" w:rsidP="0080277B">
      <w:pPr>
        <w:pStyle w:val="ProfileBodyText"/>
        <w:ind w:left="1080"/>
        <w:rPr>
          <w:rFonts w:ascii="Georgia" w:hAnsi="Georgia"/>
          <w:bCs/>
        </w:rPr>
      </w:pPr>
    </w:p>
    <w:p w:rsidR="00D03C3C" w:rsidRPr="00D03C3C" w:rsidRDefault="00D03C3C" w:rsidP="00D03C3C">
      <w:pPr>
        <w:pStyle w:val="ProfileBodyText"/>
        <w:numPr>
          <w:ilvl w:val="0"/>
          <w:numId w:val="12"/>
        </w:numPr>
        <w:rPr>
          <w:rFonts w:ascii="Georgia" w:hAnsi="Georgia"/>
          <w:bCs/>
        </w:rPr>
      </w:pPr>
      <w:r>
        <w:rPr>
          <w:rFonts w:ascii="Georgia" w:hAnsi="Georgia"/>
          <w:b/>
          <w:bCs/>
          <w:sz w:val="24"/>
          <w:u w:val="single"/>
        </w:rPr>
        <w:lastRenderedPageBreak/>
        <w:t>Cyber Security Threats.</w:t>
      </w:r>
      <w:r>
        <w:rPr>
          <w:rFonts w:ascii="Georgia" w:hAnsi="Georgia"/>
          <w:bCs/>
        </w:rPr>
        <w:t xml:space="preserve"> </w:t>
      </w:r>
      <w:r w:rsidR="00185438" w:rsidRPr="00D03C3C">
        <w:rPr>
          <w:rFonts w:ascii="Georgia" w:hAnsi="Georgia"/>
          <w:bCs/>
          <w:sz w:val="24"/>
        </w:rPr>
        <w:t>The rapid advancement of the industry has been underscored by gains in technology, including advanced manufacturing techniques, telematics, and infotainment.  Technology-sharing agreements and JVs between OEMs will further increase innovation – and cross-border, cross-company IP risk.</w:t>
      </w:r>
      <w:r w:rsidR="00185438" w:rsidRPr="00D03C3C">
        <w:rPr>
          <w:rFonts w:ascii="Georgia" w:hAnsi="Georgia"/>
          <w:bCs/>
        </w:rPr>
        <w:t xml:space="preserve"> </w:t>
      </w:r>
    </w:p>
    <w:p w:rsidR="0080277B" w:rsidRDefault="0080277B">
      <w:pPr>
        <w:pStyle w:val="ProfileBodyText"/>
        <w:ind w:left="360"/>
        <w:rPr>
          <w:rFonts w:ascii="Georgia" w:hAnsi="Georgia"/>
          <w:sz w:val="24"/>
        </w:rPr>
      </w:pPr>
    </w:p>
    <w:p w:rsidR="00D8696B" w:rsidRPr="0048527C" w:rsidRDefault="00D10423">
      <w:pPr>
        <w:pStyle w:val="ProfileBodyText"/>
        <w:ind w:left="360"/>
        <w:rPr>
          <w:rFonts w:ascii="Georgia" w:hAnsi="Georgia"/>
          <w:sz w:val="24"/>
        </w:rPr>
      </w:pPr>
      <w:r w:rsidRPr="009F1C74">
        <w:rPr>
          <w:rFonts w:ascii="Georgia" w:hAnsi="Georgia"/>
          <w:sz w:val="24"/>
        </w:rPr>
        <w:t>"</w:t>
      </w:r>
      <w:r w:rsidR="009F1C74" w:rsidRPr="009F1C74">
        <w:rPr>
          <w:rFonts w:ascii="Georgia" w:hAnsi="Georgia"/>
          <w:sz w:val="24"/>
        </w:rPr>
        <w:t>Automotive companies remain cautious about economic conditions in Europe</w:t>
      </w:r>
      <w:r w:rsidRPr="009F1C74">
        <w:rPr>
          <w:rFonts w:ascii="Georgia" w:hAnsi="Georgia"/>
          <w:sz w:val="24"/>
        </w:rPr>
        <w:t>," said Rick Hanna, global automotive leader, PwC.  "</w:t>
      </w:r>
      <w:r w:rsidR="009F1C74" w:rsidRPr="009F1C74">
        <w:rPr>
          <w:rFonts w:ascii="Georgia" w:hAnsi="Georgia"/>
          <w:sz w:val="24"/>
        </w:rPr>
        <w:t xml:space="preserve">However, </w:t>
      </w:r>
      <w:r w:rsidR="00E0094A">
        <w:rPr>
          <w:rFonts w:ascii="Georgia" w:hAnsi="Georgia"/>
          <w:sz w:val="24"/>
        </w:rPr>
        <w:t>overall we estimate that</w:t>
      </w:r>
      <w:r w:rsidR="009F1C74" w:rsidRPr="009F1C74">
        <w:rPr>
          <w:rFonts w:ascii="Georgia" w:hAnsi="Georgia"/>
          <w:sz w:val="24"/>
        </w:rPr>
        <w:t xml:space="preserve"> the global automotive industry which will prosper </w:t>
      </w:r>
      <w:r w:rsidR="00E0094A">
        <w:rPr>
          <w:rFonts w:ascii="Georgia" w:hAnsi="Georgia"/>
          <w:sz w:val="24"/>
        </w:rPr>
        <w:t xml:space="preserve">in 2013 </w:t>
      </w:r>
      <w:r w:rsidR="009F1C74" w:rsidRPr="009F1C74">
        <w:rPr>
          <w:rFonts w:ascii="Georgia" w:hAnsi="Georgia"/>
          <w:sz w:val="24"/>
        </w:rPr>
        <w:t>from emerging market growth and remain</w:t>
      </w:r>
      <w:r w:rsidR="00E57905">
        <w:rPr>
          <w:rFonts w:ascii="Georgia" w:hAnsi="Georgia"/>
          <w:sz w:val="24"/>
        </w:rPr>
        <w:t>ing pent-up demand in the US.</w:t>
      </w:r>
      <w:r w:rsidRPr="009F1C74">
        <w:rPr>
          <w:rFonts w:ascii="Georgia" w:hAnsi="Georgia"/>
          <w:sz w:val="24"/>
        </w:rPr>
        <w:t>"</w:t>
      </w:r>
    </w:p>
    <w:p w:rsidR="0080277B" w:rsidRDefault="0080277B">
      <w:pPr>
        <w:pStyle w:val="ProfileBodyText"/>
        <w:ind w:left="360"/>
        <w:rPr>
          <w:rFonts w:ascii="Georgia" w:hAnsi="Georgia"/>
          <w:sz w:val="24"/>
        </w:rPr>
      </w:pPr>
    </w:p>
    <w:p w:rsidR="00D8696B" w:rsidRPr="0048527C" w:rsidRDefault="00D10423">
      <w:pPr>
        <w:pStyle w:val="ProfileBodyText"/>
        <w:ind w:left="360"/>
        <w:rPr>
          <w:rFonts w:ascii="Georgia" w:hAnsi="Georgia"/>
          <w:sz w:val="24"/>
        </w:rPr>
      </w:pPr>
      <w:r w:rsidRPr="0048527C">
        <w:rPr>
          <w:rFonts w:ascii="Georgia" w:hAnsi="Georgia"/>
          <w:sz w:val="24"/>
        </w:rPr>
        <w:t xml:space="preserve">To receive specific </w:t>
      </w:r>
      <w:r w:rsidR="0048527C" w:rsidRPr="0048527C">
        <w:rPr>
          <w:rFonts w:ascii="Georgia" w:hAnsi="Georgia"/>
          <w:sz w:val="24"/>
        </w:rPr>
        <w:t xml:space="preserve">regional forecast </w:t>
      </w:r>
      <w:r w:rsidRPr="0048527C">
        <w:rPr>
          <w:rFonts w:ascii="Georgia" w:hAnsi="Georgia"/>
          <w:sz w:val="24"/>
        </w:rPr>
        <w:t xml:space="preserve">data, sign-up for a free monthly subscription </w:t>
      </w:r>
      <w:r w:rsidR="0048527C" w:rsidRPr="0048527C">
        <w:rPr>
          <w:rFonts w:ascii="Georgia" w:hAnsi="Georgia"/>
          <w:sz w:val="24"/>
        </w:rPr>
        <w:t>t</w:t>
      </w:r>
      <w:r w:rsidRPr="0048527C">
        <w:rPr>
          <w:rFonts w:ascii="Georgia" w:hAnsi="Georgia"/>
          <w:sz w:val="24"/>
        </w:rPr>
        <w:t xml:space="preserve">o </w:t>
      </w:r>
      <w:r w:rsidR="001B2FF7">
        <w:rPr>
          <w:rFonts w:ascii="Georgia" w:hAnsi="Georgia"/>
          <w:sz w:val="24"/>
        </w:rPr>
        <w:t xml:space="preserve">PwC’s </w:t>
      </w:r>
      <w:r w:rsidRPr="0048527C">
        <w:rPr>
          <w:rFonts w:ascii="Georgia" w:hAnsi="Georgia"/>
          <w:sz w:val="24"/>
        </w:rPr>
        <w:t xml:space="preserve">Autofacts Analyst Notes at </w:t>
      </w:r>
      <w:hyperlink r:id="rId10" w:history="1">
        <w:r w:rsidR="00F85C41" w:rsidRPr="00F37DAF">
          <w:rPr>
            <w:rStyle w:val="Hyperlink"/>
            <w:rFonts w:ascii="Georgia" w:hAnsi="Georgia"/>
            <w:sz w:val="24"/>
          </w:rPr>
          <w:t>www.autofacts.com</w:t>
        </w:r>
      </w:hyperlink>
      <w:r w:rsidRPr="0048527C">
        <w:rPr>
          <w:rFonts w:ascii="Georgia" w:hAnsi="Georgia"/>
          <w:sz w:val="24"/>
        </w:rPr>
        <w:t xml:space="preserve">.  </w:t>
      </w:r>
    </w:p>
    <w:p w:rsidR="00D8696B" w:rsidRPr="0048527C" w:rsidRDefault="00D8696B">
      <w:pPr>
        <w:pStyle w:val="ProfileBodyText"/>
        <w:ind w:left="360"/>
        <w:rPr>
          <w:rFonts w:ascii="Georgia" w:hAnsi="Georgia" w:cs="Arial"/>
          <w:color w:val="2F2F2F"/>
          <w:sz w:val="24"/>
        </w:rPr>
      </w:pPr>
    </w:p>
    <w:p w:rsidR="00D8696B" w:rsidRPr="0048527C" w:rsidRDefault="00D10423">
      <w:pPr>
        <w:autoSpaceDE w:val="0"/>
        <w:autoSpaceDN w:val="0"/>
        <w:adjustRightInd w:val="0"/>
        <w:ind w:left="360"/>
        <w:rPr>
          <w:rFonts w:ascii="Georgia" w:hAnsi="Georgia" w:cs="Helv"/>
          <w:b/>
          <w:color w:val="000000"/>
        </w:rPr>
      </w:pPr>
      <w:r w:rsidRPr="0048527C">
        <w:rPr>
          <w:rFonts w:ascii="Georgia" w:hAnsi="Georgia" w:cs="Helv"/>
          <w:b/>
          <w:color w:val="000000"/>
        </w:rPr>
        <w:t>About PwC's Automotive Practice</w:t>
      </w:r>
    </w:p>
    <w:p w:rsidR="00D8696B" w:rsidRPr="0048527C" w:rsidRDefault="00D10423">
      <w:pPr>
        <w:autoSpaceDE w:val="0"/>
        <w:autoSpaceDN w:val="0"/>
        <w:adjustRightInd w:val="0"/>
        <w:ind w:left="360"/>
        <w:rPr>
          <w:rFonts w:ascii="Georgia" w:hAnsi="Georgia" w:cs="Helv"/>
          <w:color w:val="000000"/>
        </w:rPr>
      </w:pPr>
      <w:r w:rsidRPr="0048527C">
        <w:rPr>
          <w:rFonts w:ascii="Georgia" w:hAnsi="Georgia" w:cs="Helv"/>
          <w:color w:val="000000"/>
        </w:rPr>
        <w:t>PwC's global automotive practice leverages its extensive experience in the industry to help companies solve complex business challenges with efficiency and quality.  One of PwC's global automotive practice's key competitive advantages is Autofacts</w:t>
      </w:r>
      <w:r w:rsidRPr="0048527C">
        <w:rPr>
          <w:rFonts w:ascii="Georgia" w:hAnsi="Georgia" w:cs="Arial"/>
          <w:vertAlign w:val="superscript"/>
        </w:rPr>
        <w:t>®</w:t>
      </w:r>
      <w:r w:rsidRPr="0048527C">
        <w:rPr>
          <w:rFonts w:ascii="Georgia" w:hAnsi="Georgia" w:cs="Helv"/>
          <w:color w:val="000000"/>
        </w:rPr>
        <w:t>, a team of automotive industry specialists dedicated to ongoing analysis of sector trends.  Autofacts provides our team of more than 4,</w:t>
      </w:r>
      <w:r w:rsidR="009F1C74">
        <w:rPr>
          <w:rFonts w:ascii="Georgia" w:hAnsi="Georgia" w:cs="Helv"/>
          <w:color w:val="000000"/>
        </w:rPr>
        <w:t>7</w:t>
      </w:r>
      <w:r w:rsidRPr="0048527C">
        <w:rPr>
          <w:rFonts w:ascii="Georgia" w:hAnsi="Georgia" w:cs="Helv"/>
          <w:color w:val="000000"/>
        </w:rPr>
        <w:t xml:space="preserve">00 automotive professionals and our clients with data and analysis to assess implications, make recommendations, and support decisions to compete in the global marketplace. </w:t>
      </w:r>
    </w:p>
    <w:p w:rsidR="00D8696B" w:rsidRPr="0048527C" w:rsidRDefault="00D8696B">
      <w:pPr>
        <w:ind w:left="360"/>
        <w:rPr>
          <w:rFonts w:ascii="Georgia" w:hAnsi="Georgia"/>
          <w:b/>
          <w:bCs/>
        </w:rPr>
      </w:pPr>
    </w:p>
    <w:p w:rsidR="00D8696B" w:rsidRPr="0048527C" w:rsidRDefault="00D10423">
      <w:pPr>
        <w:ind w:left="360"/>
        <w:rPr>
          <w:rFonts w:ascii="Georgia" w:hAnsi="Georgia" w:cs="Arial"/>
          <w:b/>
        </w:rPr>
      </w:pPr>
      <w:r w:rsidRPr="0048527C">
        <w:rPr>
          <w:rFonts w:ascii="Georgia" w:hAnsi="Georgia" w:cs="Arial"/>
          <w:b/>
        </w:rPr>
        <w:t>About Autofacts®</w:t>
      </w:r>
    </w:p>
    <w:p w:rsidR="00D8696B" w:rsidRPr="0048527C" w:rsidRDefault="00D10423">
      <w:pPr>
        <w:ind w:left="360"/>
        <w:rPr>
          <w:rFonts w:ascii="Georgia" w:hAnsi="Georgia" w:cs="Arial"/>
        </w:rPr>
      </w:pPr>
      <w:r w:rsidRPr="0048527C">
        <w:rPr>
          <w:rFonts w:ascii="Georgia" w:hAnsi="Georgia" w:cs="Arial"/>
        </w:rPr>
        <w:t xml:space="preserve">Autofacts, PwC's automotive forecasting service, is a provider of automotive market analysis, strategy development, and competitive intelligence to the world’s leading vehicle manufacturers, automotive suppliers, and support organizations.  Autofacts service offerings are available on-demand, for </w:t>
      </w:r>
      <w:r w:rsidRPr="0048527C">
        <w:rPr>
          <w:rFonts w:ascii="Georgia" w:hAnsi="Georgia"/>
        </w:rPr>
        <w:t xml:space="preserve">one-time purchase and through an annual subscription basis to access the on-line portal with Autofacts' proprietary data query tool.  </w:t>
      </w:r>
      <w:r w:rsidRPr="0048527C">
        <w:rPr>
          <w:rFonts w:ascii="Georgia" w:hAnsi="Georgia" w:cs="Arial"/>
        </w:rPr>
        <w:t xml:space="preserve">For more information regarding Autofacts or to sign up for a free monthly subscription to Autofacts Analyst Notes, visit </w:t>
      </w:r>
      <w:hyperlink r:id="rId11" w:history="1">
        <w:r w:rsidRPr="0048527C">
          <w:rPr>
            <w:rStyle w:val="Hyperlink"/>
            <w:rFonts w:ascii="Georgia" w:hAnsi="Georgia" w:cs="Arial"/>
          </w:rPr>
          <w:t>www.autofacts.com</w:t>
        </w:r>
      </w:hyperlink>
      <w:r w:rsidRPr="0048527C">
        <w:rPr>
          <w:rFonts w:ascii="Georgia" w:hAnsi="Georgia" w:cs="Arial"/>
        </w:rPr>
        <w:t>.</w:t>
      </w:r>
    </w:p>
    <w:p w:rsidR="00D8696B" w:rsidRPr="0048527C" w:rsidRDefault="00D8696B">
      <w:pPr>
        <w:ind w:left="360"/>
        <w:rPr>
          <w:rFonts w:ascii="Georgia" w:hAnsi="Georgia"/>
          <w:b/>
          <w:bCs/>
        </w:rPr>
      </w:pPr>
    </w:p>
    <w:p w:rsidR="00D8696B" w:rsidRPr="0048527C" w:rsidRDefault="00D10423">
      <w:pPr>
        <w:autoSpaceDE w:val="0"/>
        <w:autoSpaceDN w:val="0"/>
        <w:adjustRightInd w:val="0"/>
        <w:ind w:left="360"/>
        <w:rPr>
          <w:rFonts w:ascii="Georgia" w:eastAsiaTheme="minorHAnsi" w:hAnsi="Georgia" w:cstheme="minorBidi"/>
          <w:b/>
        </w:rPr>
      </w:pPr>
      <w:r w:rsidRPr="0048527C">
        <w:rPr>
          <w:rFonts w:ascii="Georgia" w:eastAsiaTheme="minorHAnsi" w:hAnsi="Georgia" w:cstheme="minorBidi"/>
          <w:b/>
        </w:rPr>
        <w:t>About the PwC Network</w:t>
      </w:r>
    </w:p>
    <w:p w:rsidR="00D8696B" w:rsidRPr="0048527C" w:rsidRDefault="00D10423">
      <w:pPr>
        <w:autoSpaceDE w:val="0"/>
        <w:autoSpaceDN w:val="0"/>
        <w:adjustRightInd w:val="0"/>
        <w:ind w:left="360"/>
        <w:rPr>
          <w:rFonts w:ascii="Georgia" w:eastAsiaTheme="minorHAnsi" w:hAnsi="Georgia" w:cs="Georgia"/>
          <w:color w:val="000000"/>
        </w:rPr>
      </w:pPr>
      <w:r w:rsidRPr="0048527C">
        <w:rPr>
          <w:rFonts w:ascii="Georgia" w:eastAsiaTheme="minorHAnsi" w:hAnsi="Georgia" w:cs="Georgia"/>
          <w:color w:val="000000"/>
        </w:rPr>
        <w:t>PwC firms help organizations and individuals create the value they’re looking for.  We’re a network of firms in 158 countries with close to 1</w:t>
      </w:r>
      <w:r w:rsidR="004739FA">
        <w:rPr>
          <w:rFonts w:ascii="Georgia" w:eastAsiaTheme="minorHAnsi" w:hAnsi="Georgia" w:cs="Georgia"/>
          <w:color w:val="000000"/>
        </w:rPr>
        <w:t>80</w:t>
      </w:r>
      <w:r w:rsidRPr="0048527C">
        <w:rPr>
          <w:rFonts w:ascii="Georgia" w:eastAsiaTheme="minorHAnsi" w:hAnsi="Georgia" w:cs="Georgia"/>
          <w:color w:val="000000"/>
        </w:rPr>
        <w:t xml:space="preserve">,000 people who are committed to delivering quality in assurance, tax and advisory services.  Tell us what matters to you and find out more by visiting us at </w:t>
      </w:r>
      <w:hyperlink r:id="rId12" w:history="1">
        <w:r w:rsidRPr="0048527C">
          <w:rPr>
            <w:rFonts w:ascii="Georgia" w:eastAsiaTheme="minorHAnsi" w:hAnsi="Georgia" w:cs="Georgia"/>
            <w:color w:val="0000FF"/>
            <w:u w:val="single"/>
          </w:rPr>
          <w:t>www.pwc.com</w:t>
        </w:r>
      </w:hyperlink>
      <w:r w:rsidRPr="0048527C">
        <w:rPr>
          <w:rFonts w:ascii="Georgia" w:eastAsiaTheme="minorHAnsi" w:hAnsi="Georgia" w:cs="Georgia"/>
          <w:color w:val="000000"/>
        </w:rPr>
        <w:t>.</w:t>
      </w:r>
    </w:p>
    <w:p w:rsidR="00D8696B" w:rsidRPr="0048527C" w:rsidRDefault="00D8696B">
      <w:pPr>
        <w:autoSpaceDE w:val="0"/>
        <w:autoSpaceDN w:val="0"/>
        <w:adjustRightInd w:val="0"/>
        <w:ind w:left="360"/>
        <w:rPr>
          <w:rFonts w:ascii="Georgia" w:eastAsiaTheme="minorHAnsi" w:hAnsi="Georgia" w:cs="Georgia"/>
          <w:color w:val="000000"/>
        </w:rPr>
      </w:pPr>
    </w:p>
    <w:p w:rsidR="00D8696B" w:rsidRPr="0048527C" w:rsidRDefault="00D10423">
      <w:pPr>
        <w:ind w:left="360"/>
        <w:rPr>
          <w:rFonts w:ascii="Georgia" w:hAnsi="Georgia"/>
        </w:rPr>
      </w:pPr>
      <w:r w:rsidRPr="0048527C">
        <w:rPr>
          <w:rFonts w:ascii="Georgia" w:eastAsiaTheme="minorHAnsi" w:hAnsi="Georgia" w:cs="Georgia"/>
          <w:color w:val="000000"/>
        </w:rPr>
        <w:t>© 201</w:t>
      </w:r>
      <w:r w:rsidR="00F85C41">
        <w:rPr>
          <w:rFonts w:ascii="Georgia" w:eastAsiaTheme="minorHAnsi" w:hAnsi="Georgia" w:cs="Georgia"/>
          <w:color w:val="000000"/>
        </w:rPr>
        <w:t>3</w:t>
      </w:r>
      <w:r w:rsidR="00634DF7">
        <w:rPr>
          <w:rFonts w:ascii="Georgia" w:eastAsiaTheme="minorHAnsi" w:hAnsi="Georgia" w:cs="Georgia"/>
          <w:color w:val="000000"/>
        </w:rPr>
        <w:t xml:space="preserve"> </w:t>
      </w:r>
      <w:r w:rsidRPr="0048527C">
        <w:rPr>
          <w:rFonts w:ascii="Georgia" w:eastAsiaTheme="minorHAnsi" w:hAnsi="Georgia" w:cs="Georgia"/>
          <w:color w:val="000000"/>
        </w:rPr>
        <w:t xml:space="preserve">PricewaterhouseCoopers LLP, a Delaware limited liability partnership. All rights reserved. PwC refers to the US member firm, and may sometimes refer to the PwC network. Each member firm is a separate legal entity. Please see </w:t>
      </w:r>
      <w:hyperlink r:id="rId13" w:history="1">
        <w:r w:rsidRPr="0048527C">
          <w:rPr>
            <w:rFonts w:ascii="Georgia" w:eastAsiaTheme="minorHAnsi" w:hAnsi="Georgia" w:cs="Georgia"/>
            <w:color w:val="0000FF"/>
            <w:u w:val="single"/>
          </w:rPr>
          <w:t>www.pwc.com/structure</w:t>
        </w:r>
      </w:hyperlink>
      <w:r w:rsidRPr="0048527C">
        <w:rPr>
          <w:rFonts w:ascii="Georgia" w:eastAsiaTheme="minorHAnsi" w:hAnsi="Georgia" w:cs="Georgia"/>
          <w:color w:val="000000"/>
        </w:rPr>
        <w:t xml:space="preserve"> for further details.</w:t>
      </w:r>
    </w:p>
    <w:p w:rsidR="00D8696B" w:rsidRPr="0048527C" w:rsidRDefault="00D8696B">
      <w:pPr>
        <w:pStyle w:val="NormalWeb"/>
        <w:spacing w:after="80" w:afterAutospacing="0"/>
        <w:rPr>
          <w:rFonts w:ascii="Georgia" w:hAnsi="Georgia"/>
          <w:color w:val="auto"/>
        </w:rPr>
      </w:pPr>
    </w:p>
    <w:p w:rsidR="00D8696B" w:rsidRDefault="00D8696B" w:rsidP="009A09DE">
      <w:pPr>
        <w:ind w:left="720"/>
        <w:jc w:val="center"/>
        <w:rPr>
          <w:rFonts w:ascii="Georgia" w:hAnsi="Georgia"/>
          <w:sz w:val="22"/>
          <w:szCs w:val="22"/>
        </w:rPr>
      </w:pPr>
    </w:p>
    <w:sectPr w:rsidR="00D8696B" w:rsidSect="0080277B">
      <w:headerReference w:type="default" r:id="rId14"/>
      <w:pgSz w:w="12240" w:h="15840"/>
      <w:pgMar w:top="1152" w:right="1152" w:bottom="1008"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1A2" w:rsidRDefault="00FF21A2">
      <w:r>
        <w:separator/>
      </w:r>
    </w:p>
  </w:endnote>
  <w:endnote w:type="continuationSeparator" w:id="0">
    <w:p w:rsidR="00FF21A2" w:rsidRDefault="00FF2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1A2" w:rsidRDefault="00FF21A2">
      <w:r>
        <w:separator/>
      </w:r>
    </w:p>
  </w:footnote>
  <w:footnote w:type="continuationSeparator" w:id="0">
    <w:p w:rsidR="00FF21A2" w:rsidRDefault="00FF2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96B" w:rsidRDefault="00D10423">
    <w:pPr>
      <w:pStyle w:val="Header"/>
      <w:ind w:left="360"/>
    </w:pPr>
    <w:r>
      <w:rPr>
        <w:b/>
      </w:rPr>
      <w:t>Page 2</w:t>
    </w:r>
    <w:r w:rsidR="00D369C7">
      <w:rPr>
        <w:b/>
      </w:rPr>
      <w:t xml:space="preserve"> </w:t>
    </w:r>
    <w:r>
      <w:rPr>
        <w:b/>
      </w:rPr>
      <w:t>—</w:t>
    </w:r>
    <w:r w:rsidR="00D369C7">
      <w:rPr>
        <w:b/>
      </w:rPr>
      <w:t xml:space="preserve"> Autofacts 2013</w:t>
    </w:r>
    <w:r w:rsidR="00DD2F94">
      <w:rPr>
        <w:b/>
      </w:rPr>
      <w:t xml:space="preserve"> Q1 Global Light Vehicle Assembly Forecast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3C87"/>
    <w:multiLevelType w:val="hybridMultilevel"/>
    <w:tmpl w:val="9ADEA828"/>
    <w:lvl w:ilvl="0" w:tplc="A4D64930">
      <w:start w:val="1"/>
      <w:numFmt w:val="bullet"/>
      <w:lvlText w:val="•"/>
      <w:lvlJc w:val="left"/>
      <w:pPr>
        <w:tabs>
          <w:tab w:val="num" w:pos="720"/>
        </w:tabs>
        <w:ind w:left="720" w:hanging="360"/>
      </w:pPr>
      <w:rPr>
        <w:rFonts w:ascii="Times New Roman" w:hAnsi="Times New Roman" w:hint="default"/>
      </w:rPr>
    </w:lvl>
    <w:lvl w:ilvl="1" w:tplc="18D89644" w:tentative="1">
      <w:start w:val="1"/>
      <w:numFmt w:val="bullet"/>
      <w:lvlText w:val="•"/>
      <w:lvlJc w:val="left"/>
      <w:pPr>
        <w:tabs>
          <w:tab w:val="num" w:pos="1440"/>
        </w:tabs>
        <w:ind w:left="1440" w:hanging="360"/>
      </w:pPr>
      <w:rPr>
        <w:rFonts w:ascii="Times New Roman" w:hAnsi="Times New Roman" w:hint="default"/>
      </w:rPr>
    </w:lvl>
    <w:lvl w:ilvl="2" w:tplc="4B42AEF0" w:tentative="1">
      <w:start w:val="1"/>
      <w:numFmt w:val="bullet"/>
      <w:lvlText w:val="•"/>
      <w:lvlJc w:val="left"/>
      <w:pPr>
        <w:tabs>
          <w:tab w:val="num" w:pos="2160"/>
        </w:tabs>
        <w:ind w:left="2160" w:hanging="360"/>
      </w:pPr>
      <w:rPr>
        <w:rFonts w:ascii="Times New Roman" w:hAnsi="Times New Roman" w:hint="default"/>
      </w:rPr>
    </w:lvl>
    <w:lvl w:ilvl="3" w:tplc="C18CCEC0" w:tentative="1">
      <w:start w:val="1"/>
      <w:numFmt w:val="bullet"/>
      <w:lvlText w:val="•"/>
      <w:lvlJc w:val="left"/>
      <w:pPr>
        <w:tabs>
          <w:tab w:val="num" w:pos="2880"/>
        </w:tabs>
        <w:ind w:left="2880" w:hanging="360"/>
      </w:pPr>
      <w:rPr>
        <w:rFonts w:ascii="Times New Roman" w:hAnsi="Times New Roman" w:hint="default"/>
      </w:rPr>
    </w:lvl>
    <w:lvl w:ilvl="4" w:tplc="4B3A4A96" w:tentative="1">
      <w:start w:val="1"/>
      <w:numFmt w:val="bullet"/>
      <w:lvlText w:val="•"/>
      <w:lvlJc w:val="left"/>
      <w:pPr>
        <w:tabs>
          <w:tab w:val="num" w:pos="3600"/>
        </w:tabs>
        <w:ind w:left="3600" w:hanging="360"/>
      </w:pPr>
      <w:rPr>
        <w:rFonts w:ascii="Times New Roman" w:hAnsi="Times New Roman" w:hint="default"/>
      </w:rPr>
    </w:lvl>
    <w:lvl w:ilvl="5" w:tplc="B77229D6" w:tentative="1">
      <w:start w:val="1"/>
      <w:numFmt w:val="bullet"/>
      <w:lvlText w:val="•"/>
      <w:lvlJc w:val="left"/>
      <w:pPr>
        <w:tabs>
          <w:tab w:val="num" w:pos="4320"/>
        </w:tabs>
        <w:ind w:left="4320" w:hanging="360"/>
      </w:pPr>
      <w:rPr>
        <w:rFonts w:ascii="Times New Roman" w:hAnsi="Times New Roman" w:hint="default"/>
      </w:rPr>
    </w:lvl>
    <w:lvl w:ilvl="6" w:tplc="485C50FA" w:tentative="1">
      <w:start w:val="1"/>
      <w:numFmt w:val="bullet"/>
      <w:lvlText w:val="•"/>
      <w:lvlJc w:val="left"/>
      <w:pPr>
        <w:tabs>
          <w:tab w:val="num" w:pos="5040"/>
        </w:tabs>
        <w:ind w:left="5040" w:hanging="360"/>
      </w:pPr>
      <w:rPr>
        <w:rFonts w:ascii="Times New Roman" w:hAnsi="Times New Roman" w:hint="default"/>
      </w:rPr>
    </w:lvl>
    <w:lvl w:ilvl="7" w:tplc="07B4EE3A" w:tentative="1">
      <w:start w:val="1"/>
      <w:numFmt w:val="bullet"/>
      <w:lvlText w:val="•"/>
      <w:lvlJc w:val="left"/>
      <w:pPr>
        <w:tabs>
          <w:tab w:val="num" w:pos="5760"/>
        </w:tabs>
        <w:ind w:left="5760" w:hanging="360"/>
      </w:pPr>
      <w:rPr>
        <w:rFonts w:ascii="Times New Roman" w:hAnsi="Times New Roman" w:hint="default"/>
      </w:rPr>
    </w:lvl>
    <w:lvl w:ilvl="8" w:tplc="BAE6B98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A34294"/>
    <w:multiLevelType w:val="hybridMultilevel"/>
    <w:tmpl w:val="F9946D80"/>
    <w:lvl w:ilvl="0" w:tplc="4C106AB0">
      <w:start w:val="1"/>
      <w:numFmt w:val="bullet"/>
      <w:lvlText w:val="•"/>
      <w:lvlJc w:val="left"/>
      <w:pPr>
        <w:tabs>
          <w:tab w:val="num" w:pos="720"/>
        </w:tabs>
        <w:ind w:left="720" w:hanging="360"/>
      </w:pPr>
      <w:rPr>
        <w:rFonts w:ascii="Times New Roman" w:hAnsi="Times New Roman" w:hint="default"/>
      </w:rPr>
    </w:lvl>
    <w:lvl w:ilvl="1" w:tplc="7BBE97C4" w:tentative="1">
      <w:start w:val="1"/>
      <w:numFmt w:val="bullet"/>
      <w:lvlText w:val="•"/>
      <w:lvlJc w:val="left"/>
      <w:pPr>
        <w:tabs>
          <w:tab w:val="num" w:pos="1440"/>
        </w:tabs>
        <w:ind w:left="1440" w:hanging="360"/>
      </w:pPr>
      <w:rPr>
        <w:rFonts w:ascii="Times New Roman" w:hAnsi="Times New Roman" w:hint="default"/>
      </w:rPr>
    </w:lvl>
    <w:lvl w:ilvl="2" w:tplc="B66A84A4" w:tentative="1">
      <w:start w:val="1"/>
      <w:numFmt w:val="bullet"/>
      <w:lvlText w:val="•"/>
      <w:lvlJc w:val="left"/>
      <w:pPr>
        <w:tabs>
          <w:tab w:val="num" w:pos="2160"/>
        </w:tabs>
        <w:ind w:left="2160" w:hanging="360"/>
      </w:pPr>
      <w:rPr>
        <w:rFonts w:ascii="Times New Roman" w:hAnsi="Times New Roman" w:hint="default"/>
      </w:rPr>
    </w:lvl>
    <w:lvl w:ilvl="3" w:tplc="1F88F12A" w:tentative="1">
      <w:start w:val="1"/>
      <w:numFmt w:val="bullet"/>
      <w:lvlText w:val="•"/>
      <w:lvlJc w:val="left"/>
      <w:pPr>
        <w:tabs>
          <w:tab w:val="num" w:pos="2880"/>
        </w:tabs>
        <w:ind w:left="2880" w:hanging="360"/>
      </w:pPr>
      <w:rPr>
        <w:rFonts w:ascii="Times New Roman" w:hAnsi="Times New Roman" w:hint="default"/>
      </w:rPr>
    </w:lvl>
    <w:lvl w:ilvl="4" w:tplc="6F28CE82" w:tentative="1">
      <w:start w:val="1"/>
      <w:numFmt w:val="bullet"/>
      <w:lvlText w:val="•"/>
      <w:lvlJc w:val="left"/>
      <w:pPr>
        <w:tabs>
          <w:tab w:val="num" w:pos="3600"/>
        </w:tabs>
        <w:ind w:left="3600" w:hanging="360"/>
      </w:pPr>
      <w:rPr>
        <w:rFonts w:ascii="Times New Roman" w:hAnsi="Times New Roman" w:hint="default"/>
      </w:rPr>
    </w:lvl>
    <w:lvl w:ilvl="5" w:tplc="CF30FBB6" w:tentative="1">
      <w:start w:val="1"/>
      <w:numFmt w:val="bullet"/>
      <w:lvlText w:val="•"/>
      <w:lvlJc w:val="left"/>
      <w:pPr>
        <w:tabs>
          <w:tab w:val="num" w:pos="4320"/>
        </w:tabs>
        <w:ind w:left="4320" w:hanging="360"/>
      </w:pPr>
      <w:rPr>
        <w:rFonts w:ascii="Times New Roman" w:hAnsi="Times New Roman" w:hint="default"/>
      </w:rPr>
    </w:lvl>
    <w:lvl w:ilvl="6" w:tplc="38E88B98" w:tentative="1">
      <w:start w:val="1"/>
      <w:numFmt w:val="bullet"/>
      <w:lvlText w:val="•"/>
      <w:lvlJc w:val="left"/>
      <w:pPr>
        <w:tabs>
          <w:tab w:val="num" w:pos="5040"/>
        </w:tabs>
        <w:ind w:left="5040" w:hanging="360"/>
      </w:pPr>
      <w:rPr>
        <w:rFonts w:ascii="Times New Roman" w:hAnsi="Times New Roman" w:hint="default"/>
      </w:rPr>
    </w:lvl>
    <w:lvl w:ilvl="7" w:tplc="A67EC1F6" w:tentative="1">
      <w:start w:val="1"/>
      <w:numFmt w:val="bullet"/>
      <w:lvlText w:val="•"/>
      <w:lvlJc w:val="left"/>
      <w:pPr>
        <w:tabs>
          <w:tab w:val="num" w:pos="5760"/>
        </w:tabs>
        <w:ind w:left="5760" w:hanging="360"/>
      </w:pPr>
      <w:rPr>
        <w:rFonts w:ascii="Times New Roman" w:hAnsi="Times New Roman" w:hint="default"/>
      </w:rPr>
    </w:lvl>
    <w:lvl w:ilvl="8" w:tplc="8FDEB3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75116C"/>
    <w:multiLevelType w:val="hybridMultilevel"/>
    <w:tmpl w:val="194AA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3A235A"/>
    <w:multiLevelType w:val="hybridMultilevel"/>
    <w:tmpl w:val="CDDE3E26"/>
    <w:lvl w:ilvl="0" w:tplc="C0760320">
      <w:start w:val="1"/>
      <w:numFmt w:val="bullet"/>
      <w:lvlText w:val="•"/>
      <w:lvlJc w:val="left"/>
      <w:pPr>
        <w:tabs>
          <w:tab w:val="num" w:pos="720"/>
        </w:tabs>
        <w:ind w:left="720" w:hanging="360"/>
      </w:pPr>
      <w:rPr>
        <w:rFonts w:ascii="Times New Roman" w:hAnsi="Times New Roman" w:hint="default"/>
      </w:rPr>
    </w:lvl>
    <w:lvl w:ilvl="1" w:tplc="24680882" w:tentative="1">
      <w:start w:val="1"/>
      <w:numFmt w:val="bullet"/>
      <w:lvlText w:val="•"/>
      <w:lvlJc w:val="left"/>
      <w:pPr>
        <w:tabs>
          <w:tab w:val="num" w:pos="1440"/>
        </w:tabs>
        <w:ind w:left="1440" w:hanging="360"/>
      </w:pPr>
      <w:rPr>
        <w:rFonts w:ascii="Times New Roman" w:hAnsi="Times New Roman" w:hint="default"/>
      </w:rPr>
    </w:lvl>
    <w:lvl w:ilvl="2" w:tplc="B3184B00" w:tentative="1">
      <w:start w:val="1"/>
      <w:numFmt w:val="bullet"/>
      <w:lvlText w:val="•"/>
      <w:lvlJc w:val="left"/>
      <w:pPr>
        <w:tabs>
          <w:tab w:val="num" w:pos="2160"/>
        </w:tabs>
        <w:ind w:left="2160" w:hanging="360"/>
      </w:pPr>
      <w:rPr>
        <w:rFonts w:ascii="Times New Roman" w:hAnsi="Times New Roman" w:hint="default"/>
      </w:rPr>
    </w:lvl>
    <w:lvl w:ilvl="3" w:tplc="AB50CEF8" w:tentative="1">
      <w:start w:val="1"/>
      <w:numFmt w:val="bullet"/>
      <w:lvlText w:val="•"/>
      <w:lvlJc w:val="left"/>
      <w:pPr>
        <w:tabs>
          <w:tab w:val="num" w:pos="2880"/>
        </w:tabs>
        <w:ind w:left="2880" w:hanging="360"/>
      </w:pPr>
      <w:rPr>
        <w:rFonts w:ascii="Times New Roman" w:hAnsi="Times New Roman" w:hint="default"/>
      </w:rPr>
    </w:lvl>
    <w:lvl w:ilvl="4" w:tplc="82D0F120" w:tentative="1">
      <w:start w:val="1"/>
      <w:numFmt w:val="bullet"/>
      <w:lvlText w:val="•"/>
      <w:lvlJc w:val="left"/>
      <w:pPr>
        <w:tabs>
          <w:tab w:val="num" w:pos="3600"/>
        </w:tabs>
        <w:ind w:left="3600" w:hanging="360"/>
      </w:pPr>
      <w:rPr>
        <w:rFonts w:ascii="Times New Roman" w:hAnsi="Times New Roman" w:hint="default"/>
      </w:rPr>
    </w:lvl>
    <w:lvl w:ilvl="5" w:tplc="00365902" w:tentative="1">
      <w:start w:val="1"/>
      <w:numFmt w:val="bullet"/>
      <w:lvlText w:val="•"/>
      <w:lvlJc w:val="left"/>
      <w:pPr>
        <w:tabs>
          <w:tab w:val="num" w:pos="4320"/>
        </w:tabs>
        <w:ind w:left="4320" w:hanging="360"/>
      </w:pPr>
      <w:rPr>
        <w:rFonts w:ascii="Times New Roman" w:hAnsi="Times New Roman" w:hint="default"/>
      </w:rPr>
    </w:lvl>
    <w:lvl w:ilvl="6" w:tplc="1EDC36AE" w:tentative="1">
      <w:start w:val="1"/>
      <w:numFmt w:val="bullet"/>
      <w:lvlText w:val="•"/>
      <w:lvlJc w:val="left"/>
      <w:pPr>
        <w:tabs>
          <w:tab w:val="num" w:pos="5040"/>
        </w:tabs>
        <w:ind w:left="5040" w:hanging="360"/>
      </w:pPr>
      <w:rPr>
        <w:rFonts w:ascii="Times New Roman" w:hAnsi="Times New Roman" w:hint="default"/>
      </w:rPr>
    </w:lvl>
    <w:lvl w:ilvl="7" w:tplc="FBA23CFA" w:tentative="1">
      <w:start w:val="1"/>
      <w:numFmt w:val="bullet"/>
      <w:lvlText w:val="•"/>
      <w:lvlJc w:val="left"/>
      <w:pPr>
        <w:tabs>
          <w:tab w:val="num" w:pos="5760"/>
        </w:tabs>
        <w:ind w:left="5760" w:hanging="360"/>
      </w:pPr>
      <w:rPr>
        <w:rFonts w:ascii="Times New Roman" w:hAnsi="Times New Roman" w:hint="default"/>
      </w:rPr>
    </w:lvl>
    <w:lvl w:ilvl="8" w:tplc="BEDA51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FC4A94"/>
    <w:multiLevelType w:val="hybridMultilevel"/>
    <w:tmpl w:val="AFF4A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D13967"/>
    <w:multiLevelType w:val="hybridMultilevel"/>
    <w:tmpl w:val="D84801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8572722"/>
    <w:multiLevelType w:val="hybridMultilevel"/>
    <w:tmpl w:val="184CA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4010E4"/>
    <w:multiLevelType w:val="hybridMultilevel"/>
    <w:tmpl w:val="5FC8D9AC"/>
    <w:lvl w:ilvl="0" w:tplc="5302FD8C">
      <w:start w:val="1"/>
      <w:numFmt w:val="bullet"/>
      <w:lvlText w:val="•"/>
      <w:lvlJc w:val="left"/>
      <w:pPr>
        <w:tabs>
          <w:tab w:val="num" w:pos="720"/>
        </w:tabs>
        <w:ind w:left="720" w:hanging="360"/>
      </w:pPr>
      <w:rPr>
        <w:rFonts w:ascii="Times New Roman" w:hAnsi="Times New Roman" w:hint="default"/>
      </w:rPr>
    </w:lvl>
    <w:lvl w:ilvl="1" w:tplc="67F4858E" w:tentative="1">
      <w:start w:val="1"/>
      <w:numFmt w:val="bullet"/>
      <w:lvlText w:val="•"/>
      <w:lvlJc w:val="left"/>
      <w:pPr>
        <w:tabs>
          <w:tab w:val="num" w:pos="1440"/>
        </w:tabs>
        <w:ind w:left="1440" w:hanging="360"/>
      </w:pPr>
      <w:rPr>
        <w:rFonts w:ascii="Times New Roman" w:hAnsi="Times New Roman" w:hint="default"/>
      </w:rPr>
    </w:lvl>
    <w:lvl w:ilvl="2" w:tplc="0798A38C" w:tentative="1">
      <w:start w:val="1"/>
      <w:numFmt w:val="bullet"/>
      <w:lvlText w:val="•"/>
      <w:lvlJc w:val="left"/>
      <w:pPr>
        <w:tabs>
          <w:tab w:val="num" w:pos="2160"/>
        </w:tabs>
        <w:ind w:left="2160" w:hanging="360"/>
      </w:pPr>
      <w:rPr>
        <w:rFonts w:ascii="Times New Roman" w:hAnsi="Times New Roman" w:hint="default"/>
      </w:rPr>
    </w:lvl>
    <w:lvl w:ilvl="3" w:tplc="B2CA78C8" w:tentative="1">
      <w:start w:val="1"/>
      <w:numFmt w:val="bullet"/>
      <w:lvlText w:val="•"/>
      <w:lvlJc w:val="left"/>
      <w:pPr>
        <w:tabs>
          <w:tab w:val="num" w:pos="2880"/>
        </w:tabs>
        <w:ind w:left="2880" w:hanging="360"/>
      </w:pPr>
      <w:rPr>
        <w:rFonts w:ascii="Times New Roman" w:hAnsi="Times New Roman" w:hint="default"/>
      </w:rPr>
    </w:lvl>
    <w:lvl w:ilvl="4" w:tplc="15D84A6A" w:tentative="1">
      <w:start w:val="1"/>
      <w:numFmt w:val="bullet"/>
      <w:lvlText w:val="•"/>
      <w:lvlJc w:val="left"/>
      <w:pPr>
        <w:tabs>
          <w:tab w:val="num" w:pos="3600"/>
        </w:tabs>
        <w:ind w:left="3600" w:hanging="360"/>
      </w:pPr>
      <w:rPr>
        <w:rFonts w:ascii="Times New Roman" w:hAnsi="Times New Roman" w:hint="default"/>
      </w:rPr>
    </w:lvl>
    <w:lvl w:ilvl="5" w:tplc="22601A50" w:tentative="1">
      <w:start w:val="1"/>
      <w:numFmt w:val="bullet"/>
      <w:lvlText w:val="•"/>
      <w:lvlJc w:val="left"/>
      <w:pPr>
        <w:tabs>
          <w:tab w:val="num" w:pos="4320"/>
        </w:tabs>
        <w:ind w:left="4320" w:hanging="360"/>
      </w:pPr>
      <w:rPr>
        <w:rFonts w:ascii="Times New Roman" w:hAnsi="Times New Roman" w:hint="default"/>
      </w:rPr>
    </w:lvl>
    <w:lvl w:ilvl="6" w:tplc="E184240E" w:tentative="1">
      <w:start w:val="1"/>
      <w:numFmt w:val="bullet"/>
      <w:lvlText w:val="•"/>
      <w:lvlJc w:val="left"/>
      <w:pPr>
        <w:tabs>
          <w:tab w:val="num" w:pos="5040"/>
        </w:tabs>
        <w:ind w:left="5040" w:hanging="360"/>
      </w:pPr>
      <w:rPr>
        <w:rFonts w:ascii="Times New Roman" w:hAnsi="Times New Roman" w:hint="default"/>
      </w:rPr>
    </w:lvl>
    <w:lvl w:ilvl="7" w:tplc="B4A6F940" w:tentative="1">
      <w:start w:val="1"/>
      <w:numFmt w:val="bullet"/>
      <w:lvlText w:val="•"/>
      <w:lvlJc w:val="left"/>
      <w:pPr>
        <w:tabs>
          <w:tab w:val="num" w:pos="5760"/>
        </w:tabs>
        <w:ind w:left="5760" w:hanging="360"/>
      </w:pPr>
      <w:rPr>
        <w:rFonts w:ascii="Times New Roman" w:hAnsi="Times New Roman" w:hint="default"/>
      </w:rPr>
    </w:lvl>
    <w:lvl w:ilvl="8" w:tplc="B9BCE75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69075D"/>
    <w:multiLevelType w:val="hybridMultilevel"/>
    <w:tmpl w:val="63842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B45D1"/>
    <w:multiLevelType w:val="hybridMultilevel"/>
    <w:tmpl w:val="55783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5B5A4B"/>
    <w:multiLevelType w:val="hybridMultilevel"/>
    <w:tmpl w:val="0FFED4B4"/>
    <w:lvl w:ilvl="0" w:tplc="C91CD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417553"/>
    <w:multiLevelType w:val="hybridMultilevel"/>
    <w:tmpl w:val="D8421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6674FB"/>
    <w:multiLevelType w:val="hybridMultilevel"/>
    <w:tmpl w:val="1958C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91DE8"/>
    <w:multiLevelType w:val="hybridMultilevel"/>
    <w:tmpl w:val="E54C11B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7CA93467"/>
    <w:multiLevelType w:val="hybridMultilevel"/>
    <w:tmpl w:val="0AF4A1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DD6506E"/>
    <w:multiLevelType w:val="hybridMultilevel"/>
    <w:tmpl w:val="937EDF8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5"/>
  </w:num>
  <w:num w:numId="3">
    <w:abstractNumId w:val="5"/>
  </w:num>
  <w:num w:numId="4">
    <w:abstractNumId w:val="14"/>
  </w:num>
  <w:num w:numId="5">
    <w:abstractNumId w:val="4"/>
  </w:num>
  <w:num w:numId="6">
    <w:abstractNumId w:val="10"/>
  </w:num>
  <w:num w:numId="7">
    <w:abstractNumId w:val="8"/>
  </w:num>
  <w:num w:numId="8">
    <w:abstractNumId w:val="6"/>
  </w:num>
  <w:num w:numId="9">
    <w:abstractNumId w:val="12"/>
  </w:num>
  <w:num w:numId="10">
    <w:abstractNumId w:val="2"/>
  </w:num>
  <w:num w:numId="11">
    <w:abstractNumId w:val="9"/>
  </w:num>
  <w:num w:numId="12">
    <w:abstractNumId w:val="11"/>
  </w:num>
  <w:num w:numId="13">
    <w:abstractNumId w:val="1"/>
  </w:num>
  <w:num w:numId="14">
    <w:abstractNumId w:val="3"/>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stylePaneFormatFilter w:val="3F01"/>
  <w:defaultTabStop w:val="720"/>
  <w:drawingGridHorizontalSpacing w:val="120"/>
  <w:displayHorizontalDrawingGridEvery w:val="2"/>
  <w:noPunctuationKerning/>
  <w:characterSpacingControl w:val="doNotCompress"/>
  <w:hdrShapeDefaults>
    <o:shapedefaults v:ext="edit" spidmax="174082"/>
  </w:hdrShapeDefaults>
  <w:footnotePr>
    <w:footnote w:id="-1"/>
    <w:footnote w:id="0"/>
  </w:footnotePr>
  <w:endnotePr>
    <w:endnote w:id="-1"/>
    <w:endnote w:id="0"/>
  </w:endnotePr>
  <w:compat/>
  <w:rsids>
    <w:rsidRoot w:val="00D8696B"/>
    <w:rsid w:val="00017A1D"/>
    <w:rsid w:val="00032E77"/>
    <w:rsid w:val="000B01BA"/>
    <w:rsid w:val="000C06EF"/>
    <w:rsid w:val="000D0044"/>
    <w:rsid w:val="00171894"/>
    <w:rsid w:val="001801CD"/>
    <w:rsid w:val="00185438"/>
    <w:rsid w:val="00192D50"/>
    <w:rsid w:val="001B2FF7"/>
    <w:rsid w:val="001E4AC1"/>
    <w:rsid w:val="002124E5"/>
    <w:rsid w:val="002516EB"/>
    <w:rsid w:val="00272E94"/>
    <w:rsid w:val="002A362C"/>
    <w:rsid w:val="002D556C"/>
    <w:rsid w:val="002E1381"/>
    <w:rsid w:val="00311C38"/>
    <w:rsid w:val="00460DDF"/>
    <w:rsid w:val="004739FA"/>
    <w:rsid w:val="0048527C"/>
    <w:rsid w:val="00487AB8"/>
    <w:rsid w:val="004956B9"/>
    <w:rsid w:val="004C3A91"/>
    <w:rsid w:val="004E73AB"/>
    <w:rsid w:val="00502297"/>
    <w:rsid w:val="005056C9"/>
    <w:rsid w:val="00510452"/>
    <w:rsid w:val="00510E80"/>
    <w:rsid w:val="00513190"/>
    <w:rsid w:val="00523640"/>
    <w:rsid w:val="005254C4"/>
    <w:rsid w:val="00577510"/>
    <w:rsid w:val="005A515E"/>
    <w:rsid w:val="00634DF7"/>
    <w:rsid w:val="00643CD1"/>
    <w:rsid w:val="006C2308"/>
    <w:rsid w:val="006D7A13"/>
    <w:rsid w:val="00720005"/>
    <w:rsid w:val="00756ADB"/>
    <w:rsid w:val="0079759E"/>
    <w:rsid w:val="007E11E2"/>
    <w:rsid w:val="0080277B"/>
    <w:rsid w:val="00882E02"/>
    <w:rsid w:val="008A188D"/>
    <w:rsid w:val="008B22BC"/>
    <w:rsid w:val="008C66C6"/>
    <w:rsid w:val="008D7683"/>
    <w:rsid w:val="009244CA"/>
    <w:rsid w:val="00932F7F"/>
    <w:rsid w:val="009A09DE"/>
    <w:rsid w:val="009F1C74"/>
    <w:rsid w:val="00A01255"/>
    <w:rsid w:val="00A21924"/>
    <w:rsid w:val="00A66484"/>
    <w:rsid w:val="00B01D50"/>
    <w:rsid w:val="00B20CFE"/>
    <w:rsid w:val="00B62FA3"/>
    <w:rsid w:val="00BE588D"/>
    <w:rsid w:val="00BF3027"/>
    <w:rsid w:val="00C438CA"/>
    <w:rsid w:val="00CF207A"/>
    <w:rsid w:val="00D03C3C"/>
    <w:rsid w:val="00D07601"/>
    <w:rsid w:val="00D10423"/>
    <w:rsid w:val="00D16ED5"/>
    <w:rsid w:val="00D1775F"/>
    <w:rsid w:val="00D369C7"/>
    <w:rsid w:val="00D543D2"/>
    <w:rsid w:val="00D8696B"/>
    <w:rsid w:val="00DA1477"/>
    <w:rsid w:val="00DC5B42"/>
    <w:rsid w:val="00DD2F94"/>
    <w:rsid w:val="00E0094A"/>
    <w:rsid w:val="00E320ED"/>
    <w:rsid w:val="00E57905"/>
    <w:rsid w:val="00E65308"/>
    <w:rsid w:val="00E7221C"/>
    <w:rsid w:val="00E81A73"/>
    <w:rsid w:val="00EA78E6"/>
    <w:rsid w:val="00F1504B"/>
    <w:rsid w:val="00F279F0"/>
    <w:rsid w:val="00F60415"/>
    <w:rsid w:val="00F85C41"/>
    <w:rsid w:val="00FF2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96B"/>
    <w:rPr>
      <w:sz w:val="24"/>
      <w:szCs w:val="24"/>
    </w:rPr>
  </w:style>
  <w:style w:type="paragraph" w:styleId="Heading1">
    <w:name w:val="heading 1"/>
    <w:basedOn w:val="Normal"/>
    <w:next w:val="Normal"/>
    <w:link w:val="Heading1Char"/>
    <w:qFormat/>
    <w:rsid w:val="00D869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696B"/>
    <w:rPr>
      <w:color w:val="0000FF"/>
      <w:u w:val="single"/>
    </w:rPr>
  </w:style>
  <w:style w:type="paragraph" w:styleId="BalloonText">
    <w:name w:val="Balloon Text"/>
    <w:basedOn w:val="Normal"/>
    <w:semiHidden/>
    <w:rsid w:val="00D8696B"/>
    <w:rPr>
      <w:rFonts w:ascii="Tahoma" w:hAnsi="Tahoma" w:cs="Tahoma"/>
      <w:sz w:val="16"/>
      <w:szCs w:val="16"/>
    </w:rPr>
  </w:style>
  <w:style w:type="character" w:styleId="CommentReference">
    <w:name w:val="annotation reference"/>
    <w:basedOn w:val="DefaultParagraphFont"/>
    <w:semiHidden/>
    <w:rsid w:val="00D8696B"/>
    <w:rPr>
      <w:sz w:val="16"/>
      <w:szCs w:val="16"/>
    </w:rPr>
  </w:style>
  <w:style w:type="paragraph" w:styleId="CommentText">
    <w:name w:val="annotation text"/>
    <w:basedOn w:val="Normal"/>
    <w:semiHidden/>
    <w:rsid w:val="00D8696B"/>
    <w:rPr>
      <w:sz w:val="20"/>
      <w:szCs w:val="20"/>
    </w:rPr>
  </w:style>
  <w:style w:type="paragraph" w:styleId="CommentSubject">
    <w:name w:val="annotation subject"/>
    <w:basedOn w:val="CommentText"/>
    <w:next w:val="CommentText"/>
    <w:semiHidden/>
    <w:rsid w:val="00D8696B"/>
    <w:rPr>
      <w:b/>
      <w:bCs/>
    </w:rPr>
  </w:style>
  <w:style w:type="paragraph" w:styleId="BodyText">
    <w:name w:val="Body Text"/>
    <w:basedOn w:val="Normal"/>
    <w:rsid w:val="00D8696B"/>
    <w:rPr>
      <w:b/>
      <w:bCs/>
      <w:sz w:val="22"/>
      <w:szCs w:val="22"/>
    </w:rPr>
  </w:style>
  <w:style w:type="paragraph" w:styleId="DocumentMap">
    <w:name w:val="Document Map"/>
    <w:basedOn w:val="Normal"/>
    <w:semiHidden/>
    <w:rsid w:val="00D8696B"/>
    <w:pPr>
      <w:shd w:val="clear" w:color="auto" w:fill="000080"/>
    </w:pPr>
    <w:rPr>
      <w:rFonts w:ascii="Tahoma" w:hAnsi="Tahoma" w:cs="Tahoma"/>
      <w:sz w:val="20"/>
      <w:szCs w:val="20"/>
    </w:rPr>
  </w:style>
  <w:style w:type="paragraph" w:styleId="Header">
    <w:name w:val="header"/>
    <w:basedOn w:val="Normal"/>
    <w:link w:val="HeaderChar"/>
    <w:rsid w:val="00D8696B"/>
    <w:pPr>
      <w:tabs>
        <w:tab w:val="center" w:pos="4680"/>
        <w:tab w:val="right" w:pos="9360"/>
      </w:tabs>
    </w:pPr>
  </w:style>
  <w:style w:type="character" w:customStyle="1" w:styleId="HeaderChar">
    <w:name w:val="Header Char"/>
    <w:basedOn w:val="DefaultParagraphFont"/>
    <w:link w:val="Header"/>
    <w:rsid w:val="00D8696B"/>
    <w:rPr>
      <w:sz w:val="24"/>
      <w:szCs w:val="24"/>
    </w:rPr>
  </w:style>
  <w:style w:type="paragraph" w:styleId="Footer">
    <w:name w:val="footer"/>
    <w:basedOn w:val="Normal"/>
    <w:link w:val="FooterChar"/>
    <w:rsid w:val="00D8696B"/>
    <w:pPr>
      <w:tabs>
        <w:tab w:val="center" w:pos="4680"/>
        <w:tab w:val="right" w:pos="9360"/>
      </w:tabs>
    </w:pPr>
  </w:style>
  <w:style w:type="character" w:customStyle="1" w:styleId="FooterChar">
    <w:name w:val="Footer Char"/>
    <w:basedOn w:val="DefaultParagraphFont"/>
    <w:link w:val="Footer"/>
    <w:rsid w:val="00D8696B"/>
    <w:rPr>
      <w:sz w:val="24"/>
      <w:szCs w:val="24"/>
    </w:rPr>
  </w:style>
  <w:style w:type="table" w:styleId="TableGrid">
    <w:name w:val="Table Grid"/>
    <w:basedOn w:val="TableNormal"/>
    <w:rsid w:val="00D8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8696B"/>
    <w:rPr>
      <w:i/>
      <w:iCs/>
    </w:rPr>
  </w:style>
  <w:style w:type="character" w:customStyle="1" w:styleId="Heading1Char">
    <w:name w:val="Heading 1 Char"/>
    <w:basedOn w:val="DefaultParagraphFont"/>
    <w:link w:val="Heading1"/>
    <w:rsid w:val="00D8696B"/>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D8696B"/>
    <w:pPr>
      <w:spacing w:after="120" w:line="480" w:lineRule="auto"/>
    </w:pPr>
  </w:style>
  <w:style w:type="character" w:customStyle="1" w:styleId="BodyText2Char">
    <w:name w:val="Body Text 2 Char"/>
    <w:basedOn w:val="DefaultParagraphFont"/>
    <w:link w:val="BodyText2"/>
    <w:rsid w:val="00D8696B"/>
    <w:rPr>
      <w:sz w:val="24"/>
      <w:szCs w:val="24"/>
    </w:rPr>
  </w:style>
  <w:style w:type="paragraph" w:styleId="ListParagraph">
    <w:name w:val="List Paragraph"/>
    <w:basedOn w:val="Normal"/>
    <w:uiPriority w:val="34"/>
    <w:qFormat/>
    <w:rsid w:val="00D8696B"/>
    <w:pPr>
      <w:ind w:left="720"/>
      <w:contextualSpacing/>
    </w:pPr>
  </w:style>
  <w:style w:type="paragraph" w:customStyle="1" w:styleId="Default">
    <w:name w:val="Default"/>
    <w:rsid w:val="00D8696B"/>
    <w:pPr>
      <w:autoSpaceDE w:val="0"/>
      <w:autoSpaceDN w:val="0"/>
      <w:adjustRightInd w:val="0"/>
    </w:pPr>
    <w:rPr>
      <w:rFonts w:ascii="Georgia" w:hAnsi="Georgia" w:cs="Georgia"/>
      <w:color w:val="000000"/>
      <w:sz w:val="24"/>
      <w:szCs w:val="24"/>
    </w:rPr>
  </w:style>
  <w:style w:type="paragraph" w:customStyle="1" w:styleId="ProfileBodyText">
    <w:name w:val="Profile Body Text"/>
    <w:basedOn w:val="Normal"/>
    <w:rsid w:val="00D8696B"/>
    <w:pPr>
      <w:spacing w:after="120"/>
      <w:jc w:val="both"/>
    </w:pPr>
    <w:rPr>
      <w:rFonts w:ascii="Times" w:eastAsia="MS Mincho" w:hAnsi="Times"/>
      <w:sz w:val="20"/>
      <w:lang w:eastAsia="ja-JP"/>
    </w:rPr>
  </w:style>
  <w:style w:type="paragraph" w:customStyle="1" w:styleId="ProfileHeading">
    <w:name w:val="Profile Heading"/>
    <w:basedOn w:val="Normal"/>
    <w:rsid w:val="00D8696B"/>
    <w:pPr>
      <w:spacing w:before="240"/>
    </w:pPr>
    <w:rPr>
      <w:rFonts w:ascii="Arial" w:eastAsia="MS Mincho" w:hAnsi="Arial"/>
      <w:b/>
      <w:sz w:val="20"/>
      <w:lang w:eastAsia="ja-JP"/>
    </w:rPr>
  </w:style>
  <w:style w:type="paragraph" w:styleId="NormalWeb">
    <w:name w:val="Normal (Web)"/>
    <w:basedOn w:val="Normal"/>
    <w:uiPriority w:val="99"/>
    <w:unhideWhenUsed/>
    <w:rsid w:val="00D8696B"/>
    <w:pPr>
      <w:spacing w:after="100" w:afterAutospacing="1"/>
    </w:pPr>
    <w:rPr>
      <w:rFonts w:ascii="Arial" w:hAnsi="Arial" w:cs="Arial"/>
      <w:color w:val="333333"/>
    </w:rPr>
  </w:style>
  <w:style w:type="character" w:styleId="FollowedHyperlink">
    <w:name w:val="FollowedHyperlink"/>
    <w:basedOn w:val="DefaultParagraphFont"/>
    <w:rsid w:val="00D8696B"/>
    <w:rPr>
      <w:color w:val="800080" w:themeColor="followedHyperlink"/>
      <w:u w:val="single"/>
    </w:rPr>
  </w:style>
  <w:style w:type="paragraph" w:styleId="Revision">
    <w:name w:val="Revision"/>
    <w:hidden/>
    <w:uiPriority w:val="99"/>
    <w:semiHidden/>
    <w:rsid w:val="009A09DE"/>
    <w:rPr>
      <w:sz w:val="24"/>
      <w:szCs w:val="24"/>
    </w:rPr>
  </w:style>
</w:styles>
</file>

<file path=word/webSettings.xml><?xml version="1.0" encoding="utf-8"?>
<w:webSettings xmlns:r="http://schemas.openxmlformats.org/officeDocument/2006/relationships" xmlns:w="http://schemas.openxmlformats.org/wordprocessingml/2006/main">
  <w:divs>
    <w:div w:id="735129230">
      <w:bodyDiv w:val="1"/>
      <w:marLeft w:val="0"/>
      <w:marRight w:val="0"/>
      <w:marTop w:val="0"/>
      <w:marBottom w:val="0"/>
      <w:divBdr>
        <w:top w:val="none" w:sz="0" w:space="0" w:color="auto"/>
        <w:left w:val="none" w:sz="0" w:space="0" w:color="auto"/>
        <w:bottom w:val="none" w:sz="0" w:space="0" w:color="auto"/>
        <w:right w:val="none" w:sz="0" w:space="0" w:color="auto"/>
      </w:divBdr>
    </w:div>
    <w:div w:id="1170414794">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3">
          <w:marLeft w:val="547"/>
          <w:marRight w:val="0"/>
          <w:marTop w:val="0"/>
          <w:marBottom w:val="0"/>
          <w:divBdr>
            <w:top w:val="none" w:sz="0" w:space="0" w:color="auto"/>
            <w:left w:val="none" w:sz="0" w:space="0" w:color="auto"/>
            <w:bottom w:val="none" w:sz="0" w:space="0" w:color="auto"/>
            <w:right w:val="none" w:sz="0" w:space="0" w:color="auto"/>
          </w:divBdr>
        </w:div>
      </w:divsChild>
    </w:div>
    <w:div w:id="1191265655">
      <w:bodyDiv w:val="1"/>
      <w:marLeft w:val="0"/>
      <w:marRight w:val="0"/>
      <w:marTop w:val="0"/>
      <w:marBottom w:val="0"/>
      <w:divBdr>
        <w:top w:val="none" w:sz="0" w:space="0" w:color="auto"/>
        <w:left w:val="none" w:sz="0" w:space="0" w:color="auto"/>
        <w:bottom w:val="none" w:sz="0" w:space="0" w:color="auto"/>
        <w:right w:val="none" w:sz="0" w:space="0" w:color="auto"/>
      </w:divBdr>
      <w:divsChild>
        <w:div w:id="870268804">
          <w:marLeft w:val="547"/>
          <w:marRight w:val="0"/>
          <w:marTop w:val="0"/>
          <w:marBottom w:val="0"/>
          <w:divBdr>
            <w:top w:val="none" w:sz="0" w:space="0" w:color="auto"/>
            <w:left w:val="none" w:sz="0" w:space="0" w:color="auto"/>
            <w:bottom w:val="none" w:sz="0" w:space="0" w:color="auto"/>
            <w:right w:val="none" w:sz="0" w:space="0" w:color="auto"/>
          </w:divBdr>
        </w:div>
      </w:divsChild>
    </w:div>
    <w:div w:id="1245921311">
      <w:bodyDiv w:val="1"/>
      <w:marLeft w:val="0"/>
      <w:marRight w:val="0"/>
      <w:marTop w:val="0"/>
      <w:marBottom w:val="0"/>
      <w:divBdr>
        <w:top w:val="none" w:sz="0" w:space="0" w:color="auto"/>
        <w:left w:val="none" w:sz="0" w:space="0" w:color="auto"/>
        <w:bottom w:val="none" w:sz="0" w:space="0" w:color="auto"/>
        <w:right w:val="none" w:sz="0" w:space="0" w:color="auto"/>
      </w:divBdr>
      <w:divsChild>
        <w:div w:id="64377587">
          <w:marLeft w:val="547"/>
          <w:marRight w:val="0"/>
          <w:marTop w:val="0"/>
          <w:marBottom w:val="0"/>
          <w:divBdr>
            <w:top w:val="none" w:sz="0" w:space="0" w:color="auto"/>
            <w:left w:val="none" w:sz="0" w:space="0" w:color="auto"/>
            <w:bottom w:val="none" w:sz="0" w:space="0" w:color="auto"/>
            <w:right w:val="none" w:sz="0" w:space="0" w:color="auto"/>
          </w:divBdr>
        </w:div>
      </w:divsChild>
    </w:div>
    <w:div w:id="1870877044">
      <w:bodyDiv w:val="1"/>
      <w:marLeft w:val="0"/>
      <w:marRight w:val="0"/>
      <w:marTop w:val="0"/>
      <w:marBottom w:val="0"/>
      <w:divBdr>
        <w:top w:val="none" w:sz="0" w:space="0" w:color="auto"/>
        <w:left w:val="none" w:sz="0" w:space="0" w:color="auto"/>
        <w:bottom w:val="none" w:sz="0" w:space="0" w:color="auto"/>
        <w:right w:val="none" w:sz="0" w:space="0" w:color="auto"/>
      </w:divBdr>
      <w:divsChild>
        <w:div w:id="335621419">
          <w:marLeft w:val="547"/>
          <w:marRight w:val="0"/>
          <w:marTop w:val="0"/>
          <w:marBottom w:val="0"/>
          <w:divBdr>
            <w:top w:val="none" w:sz="0" w:space="0" w:color="auto"/>
            <w:left w:val="none" w:sz="0" w:space="0" w:color="auto"/>
            <w:bottom w:val="none" w:sz="0" w:space="0" w:color="auto"/>
            <w:right w:val="none" w:sz="0" w:space="0" w:color="auto"/>
          </w:divBdr>
        </w:div>
      </w:divsChild>
    </w:div>
    <w:div w:id="2016178179">
      <w:bodyDiv w:val="1"/>
      <w:marLeft w:val="0"/>
      <w:marRight w:val="0"/>
      <w:marTop w:val="0"/>
      <w:marBottom w:val="0"/>
      <w:divBdr>
        <w:top w:val="none" w:sz="0" w:space="0" w:color="auto"/>
        <w:left w:val="none" w:sz="0" w:space="0" w:color="auto"/>
        <w:bottom w:val="none" w:sz="0" w:space="0" w:color="auto"/>
        <w:right w:val="none" w:sz="0" w:space="0" w:color="auto"/>
      </w:divBdr>
      <w:divsChild>
        <w:div w:id="111097286">
          <w:marLeft w:val="0"/>
          <w:marRight w:val="0"/>
          <w:marTop w:val="0"/>
          <w:marBottom w:val="0"/>
          <w:divBdr>
            <w:top w:val="none" w:sz="0" w:space="0" w:color="auto"/>
            <w:left w:val="none" w:sz="0" w:space="0" w:color="auto"/>
            <w:bottom w:val="none" w:sz="0" w:space="0" w:color="auto"/>
            <w:right w:val="none" w:sz="0" w:space="0" w:color="auto"/>
          </w:divBdr>
          <w:divsChild>
            <w:div w:id="681319536">
              <w:marLeft w:val="0"/>
              <w:marRight w:val="0"/>
              <w:marTop w:val="0"/>
              <w:marBottom w:val="0"/>
              <w:divBdr>
                <w:top w:val="none" w:sz="0" w:space="0" w:color="auto"/>
                <w:left w:val="none" w:sz="0" w:space="0" w:color="auto"/>
                <w:bottom w:val="none" w:sz="0" w:space="0" w:color="auto"/>
                <w:right w:val="none" w:sz="0" w:space="0" w:color="auto"/>
              </w:divBdr>
              <w:divsChild>
                <w:div w:id="16626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wc.com/struc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w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fact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utofacts.com" TargetMode="External"/><Relationship Id="rId4" Type="http://schemas.openxmlformats.org/officeDocument/2006/relationships/settings" Target="settings.xml"/><Relationship Id="rId9" Type="http://schemas.openxmlformats.org/officeDocument/2006/relationships/hyperlink" Target="mailto:kristin.m.ritter@us.pwc.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1D14-FD77-48B9-8549-3A3E94E6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Brainerd</Company>
  <LinksUpToDate>false</LinksUpToDate>
  <CharactersWithSpaces>5152</CharactersWithSpaces>
  <SharedDoc>false</SharedDoc>
  <HLinks>
    <vt:vector size="30" baseType="variant">
      <vt:variant>
        <vt:i4>3539046</vt:i4>
      </vt:variant>
      <vt:variant>
        <vt:i4>12</vt:i4>
      </vt:variant>
      <vt:variant>
        <vt:i4>0</vt:i4>
      </vt:variant>
      <vt:variant>
        <vt:i4>5</vt:i4>
      </vt:variant>
      <vt:variant>
        <vt:lpwstr>http://www.pwc.com/</vt:lpwstr>
      </vt:variant>
      <vt:variant>
        <vt:lpwstr/>
      </vt:variant>
      <vt:variant>
        <vt:i4>2293820</vt:i4>
      </vt:variant>
      <vt:variant>
        <vt:i4>9</vt:i4>
      </vt:variant>
      <vt:variant>
        <vt:i4>0</vt:i4>
      </vt:variant>
      <vt:variant>
        <vt:i4>5</vt:i4>
      </vt:variant>
      <vt:variant>
        <vt:lpwstr>http://www.pwc.com/auto</vt:lpwstr>
      </vt:variant>
      <vt:variant>
        <vt:lpwstr/>
      </vt:variant>
      <vt:variant>
        <vt:i4>4784210</vt:i4>
      </vt:variant>
      <vt:variant>
        <vt:i4>6</vt:i4>
      </vt:variant>
      <vt:variant>
        <vt:i4>0</vt:i4>
      </vt:variant>
      <vt:variant>
        <vt:i4>5</vt:i4>
      </vt:variant>
      <vt:variant>
        <vt:lpwstr>http://www.autonews.com/</vt:lpwstr>
      </vt:variant>
      <vt:variant>
        <vt:lpwstr/>
      </vt:variant>
      <vt:variant>
        <vt:i4>2424840</vt:i4>
      </vt:variant>
      <vt:variant>
        <vt:i4>3</vt:i4>
      </vt:variant>
      <vt:variant>
        <vt:i4>0</vt:i4>
      </vt:variant>
      <vt:variant>
        <vt:i4>5</vt:i4>
      </vt:variant>
      <vt:variant>
        <vt:lpwstr>mailto:laura.schooler@us.pwc.com</vt:lpwstr>
      </vt:variant>
      <vt:variant>
        <vt:lpwstr/>
      </vt:variant>
      <vt:variant>
        <vt:i4>3080268</vt:i4>
      </vt:variant>
      <vt:variant>
        <vt:i4>0</vt:i4>
      </vt:variant>
      <vt:variant>
        <vt:i4>0</vt:i4>
      </vt:variant>
      <vt:variant>
        <vt:i4>5</vt:i4>
      </vt:variant>
      <vt:variant>
        <vt:lpwstr>mailto:kristin.l.mccallum@us.pwc.com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Cianciulli</dc:creator>
  <cp:lastModifiedBy>Windows User</cp:lastModifiedBy>
  <cp:revision>2</cp:revision>
  <cp:lastPrinted>2012-01-05T15:16:00Z</cp:lastPrinted>
  <dcterms:created xsi:type="dcterms:W3CDTF">2013-02-25T15:59:00Z</dcterms:created>
  <dcterms:modified xsi:type="dcterms:W3CDTF">2013-02-25T15:59:00Z</dcterms:modified>
</cp:coreProperties>
</file>