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A77FF6">
            <w:r>
              <w:t>Tuesday, 30</w:t>
            </w:r>
            <w:r>
              <w:rPr>
                <w:vertAlign w:val="superscript"/>
              </w:rPr>
              <w:t>th</w:t>
            </w:r>
            <w:r w:rsidR="00F17ADF">
              <w:t xml:space="preserve"> </w:t>
            </w:r>
            <w:r>
              <w:t>October 2012</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A77FF6">
            <w:pPr>
              <w:tabs>
                <w:tab w:val="left" w:pos="1440"/>
              </w:tabs>
              <w:ind w:left="1440" w:hanging="1440"/>
              <w:rPr>
                <w:rFonts w:cs="Arial"/>
                <w:color w:val="000000"/>
                <w:lang w:val="fr-CH"/>
              </w:rPr>
            </w:pPr>
            <w:r>
              <w:rPr>
                <w:rFonts w:cs="Arial"/>
                <w:b/>
                <w:bCs/>
                <w:color w:val="000000"/>
                <w:lang w:val="fr-CH"/>
              </w:rPr>
              <w:t>Mike Davies</w:t>
            </w:r>
            <w:r>
              <w:rPr>
                <w:rFonts w:cs="Arial"/>
                <w:bCs/>
                <w:color w:val="000000"/>
                <w:lang w:val="fr-CH"/>
              </w:rPr>
              <w:t>, PwC</w:t>
            </w:r>
          </w:p>
          <w:p w:rsidR="00D81336" w:rsidRDefault="00A77FF6">
            <w:pPr>
              <w:tabs>
                <w:tab w:val="left" w:pos="1440"/>
              </w:tabs>
              <w:ind w:left="1440" w:hanging="1440"/>
              <w:rPr>
                <w:rFonts w:cs="Arial"/>
                <w:color w:val="000000"/>
                <w:lang w:val="fr-CH"/>
              </w:rPr>
            </w:pPr>
            <w:r>
              <w:rPr>
                <w:rFonts w:cs="Arial"/>
                <w:color w:val="000000"/>
                <w:lang w:val="fr-CH"/>
              </w:rPr>
              <w:t xml:space="preserve">Tel: +44 207 804 2378 </w:t>
            </w:r>
          </w:p>
          <w:p w:rsidR="00D81336" w:rsidRDefault="00A77FF6">
            <w:pPr>
              <w:tabs>
                <w:tab w:val="left" w:pos="1440"/>
              </w:tabs>
              <w:ind w:left="1440" w:hanging="1440"/>
              <w:rPr>
                <w:rFonts w:cs="Arial"/>
                <w:color w:val="000000"/>
                <w:lang w:val="it-IT"/>
              </w:rPr>
            </w:pPr>
            <w:r>
              <w:rPr>
                <w:rFonts w:cs="Arial"/>
                <w:color w:val="000000"/>
                <w:lang w:val="it-IT"/>
              </w:rPr>
              <w:t xml:space="preserve">e-mail: </w:t>
            </w:r>
            <w:hyperlink r:id="rId7" w:history="1">
              <w:r>
                <w:rPr>
                  <w:rStyle w:val="Hyperlink"/>
                  <w:rFonts w:cs="Arial"/>
                  <w:lang w:val="it-IT"/>
                </w:rPr>
                <w:t>mike.davies@pwc.com</w:t>
              </w:r>
            </w:hyperlink>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Default="00A77FF6">
            <w:r>
              <w:t>1</w:t>
            </w:r>
          </w:p>
        </w:tc>
      </w:tr>
    </w:tbl>
    <w:p w:rsidR="00D81336" w:rsidRPr="00F17ADF" w:rsidRDefault="00D81336">
      <w:pPr>
        <w:pStyle w:val="Title"/>
        <w:rPr>
          <w:i w:val="0"/>
        </w:rPr>
      </w:pPr>
    </w:p>
    <w:p w:rsidR="00D81336" w:rsidRPr="00F17ADF" w:rsidRDefault="00A77FF6" w:rsidP="00F17ADF">
      <w:pPr>
        <w:jc w:val="center"/>
        <w:rPr>
          <w:b/>
          <w:sz w:val="28"/>
          <w:szCs w:val="28"/>
        </w:rPr>
      </w:pPr>
      <w:r w:rsidRPr="00F17ADF">
        <w:rPr>
          <w:b/>
          <w:sz w:val="28"/>
          <w:szCs w:val="28"/>
        </w:rPr>
        <w:t xml:space="preserve">PwC </w:t>
      </w:r>
      <w:r w:rsidRPr="00F17ADF">
        <w:rPr>
          <w:b/>
          <w:sz w:val="28"/>
          <w:szCs w:val="28"/>
        </w:rPr>
        <w:t>Welcomes Report by Enhanced Disclosure Task Force</w:t>
      </w:r>
    </w:p>
    <w:p w:rsidR="00D81336" w:rsidRDefault="00D81336">
      <w:pPr>
        <w:rPr>
          <w:sz w:val="24"/>
          <w:szCs w:val="24"/>
        </w:rPr>
      </w:pPr>
    </w:p>
    <w:p w:rsidR="00D81336" w:rsidRDefault="00A77FF6">
      <w:pPr>
        <w:rPr>
          <w:sz w:val="24"/>
          <w:szCs w:val="24"/>
        </w:rPr>
      </w:pPr>
      <w:r>
        <w:rPr>
          <w:i/>
          <w:sz w:val="24"/>
          <w:szCs w:val="24"/>
        </w:rPr>
        <w:t xml:space="preserve">New York: </w:t>
      </w:r>
      <w:r>
        <w:rPr>
          <w:sz w:val="24"/>
          <w:szCs w:val="24"/>
        </w:rPr>
        <w:t>PwC welcomes the publication of the Enha</w:t>
      </w:r>
      <w:r w:rsidR="00F17ADF">
        <w:rPr>
          <w:sz w:val="24"/>
          <w:szCs w:val="24"/>
        </w:rPr>
        <w:t>nced Disclosure Task Force (EDTF</w:t>
      </w:r>
      <w:r>
        <w:rPr>
          <w:sz w:val="24"/>
          <w:szCs w:val="24"/>
        </w:rPr>
        <w:t xml:space="preserve">) report - </w:t>
      </w:r>
      <w:r>
        <w:rPr>
          <w:i/>
          <w:sz w:val="24"/>
          <w:szCs w:val="24"/>
        </w:rPr>
        <w:t xml:space="preserve">Enhancing the Risk Disclosure of Banks </w:t>
      </w:r>
      <w:r>
        <w:rPr>
          <w:sz w:val="24"/>
          <w:szCs w:val="24"/>
        </w:rPr>
        <w:t xml:space="preserve">issued through </w:t>
      </w:r>
      <w:r w:rsidR="00F17ADF">
        <w:rPr>
          <w:sz w:val="24"/>
          <w:szCs w:val="24"/>
        </w:rPr>
        <w:t xml:space="preserve">the Financial Stability Board. </w:t>
      </w:r>
      <w:r>
        <w:rPr>
          <w:sz w:val="24"/>
          <w:szCs w:val="24"/>
        </w:rPr>
        <w:t xml:space="preserve">The EDTF recommendations </w:t>
      </w:r>
      <w:r>
        <w:rPr>
          <w:sz w:val="24"/>
          <w:szCs w:val="24"/>
        </w:rPr>
        <w:t>are designed to improve the clarity, timeliness, usefulness and comparability of information that banks provide to their stakeholders.</w:t>
      </w:r>
    </w:p>
    <w:p w:rsidR="00D81336" w:rsidRDefault="00D81336">
      <w:pPr>
        <w:rPr>
          <w:sz w:val="24"/>
          <w:szCs w:val="24"/>
        </w:rPr>
      </w:pPr>
    </w:p>
    <w:p w:rsidR="00D81336" w:rsidRDefault="00A77FF6">
      <w:pPr>
        <w:rPr>
          <w:sz w:val="24"/>
          <w:szCs w:val="24"/>
        </w:rPr>
      </w:pPr>
      <w:r>
        <w:rPr>
          <w:sz w:val="24"/>
          <w:szCs w:val="24"/>
        </w:rPr>
        <w:t>PwC was an active participant in the EDTF, along with banks, investors and ratings agencies and fully supports the EDTF’</w:t>
      </w:r>
      <w:r>
        <w:rPr>
          <w:sz w:val="24"/>
          <w:szCs w:val="24"/>
        </w:rPr>
        <w:t>s ambition of improving the level of transparen</w:t>
      </w:r>
      <w:r w:rsidR="00F17ADF">
        <w:rPr>
          <w:sz w:val="24"/>
          <w:szCs w:val="24"/>
        </w:rPr>
        <w:t xml:space="preserve">cy of banks’ risk disclosures. </w:t>
      </w:r>
      <w:r>
        <w:rPr>
          <w:sz w:val="24"/>
          <w:szCs w:val="24"/>
        </w:rPr>
        <w:t>The publication of the report is a significant step for the banking industry combining the efforts of preparers and users of risk information.</w:t>
      </w:r>
    </w:p>
    <w:p w:rsidR="00D81336" w:rsidRDefault="00D81336">
      <w:pPr>
        <w:rPr>
          <w:sz w:val="24"/>
          <w:szCs w:val="24"/>
        </w:rPr>
      </w:pPr>
    </w:p>
    <w:p w:rsidR="00D81336" w:rsidRDefault="00A77FF6">
      <w:pPr>
        <w:rPr>
          <w:sz w:val="24"/>
          <w:szCs w:val="24"/>
        </w:rPr>
      </w:pPr>
      <w:r>
        <w:rPr>
          <w:sz w:val="24"/>
          <w:szCs w:val="24"/>
        </w:rPr>
        <w:t xml:space="preserve">The report makes a number of </w:t>
      </w:r>
      <w:r>
        <w:rPr>
          <w:sz w:val="24"/>
          <w:szCs w:val="24"/>
        </w:rPr>
        <w:t>useful recommendations and we look forward to working with other stakeholders to develop these recommendations into pragmatic solutions. In particular we will need to consider the practical challenges of preparing the disclosures in a clearly comprehensibl</w:t>
      </w:r>
      <w:r>
        <w:rPr>
          <w:sz w:val="24"/>
          <w:szCs w:val="24"/>
        </w:rPr>
        <w:t>e and comparable format.</w:t>
      </w:r>
    </w:p>
    <w:p w:rsidR="00D81336" w:rsidRDefault="00A77FF6">
      <w:pPr>
        <w:rPr>
          <w:sz w:val="24"/>
          <w:szCs w:val="24"/>
        </w:rPr>
      </w:pPr>
      <w:r>
        <w:rPr>
          <w:sz w:val="24"/>
          <w:szCs w:val="24"/>
        </w:rPr>
        <w:t xml:space="preserve"> </w:t>
      </w:r>
    </w:p>
    <w:p w:rsidR="00D81336" w:rsidRDefault="00A77FF6">
      <w:pPr>
        <w:autoSpaceDE w:val="0"/>
        <w:autoSpaceDN w:val="0"/>
        <w:adjustRightInd w:val="0"/>
        <w:spacing w:line="240" w:lineRule="auto"/>
        <w:rPr>
          <w:rFonts w:cs="Tms Rmn"/>
          <w:color w:val="000000"/>
          <w:sz w:val="24"/>
          <w:szCs w:val="24"/>
          <w:lang w:eastAsia="de-CH"/>
        </w:rPr>
      </w:pPr>
      <w:r>
        <w:rPr>
          <w:rFonts w:cs="Tms Rmn"/>
          <w:color w:val="000000"/>
          <w:sz w:val="24"/>
          <w:szCs w:val="24"/>
          <w:lang w:eastAsia="de-CH"/>
        </w:rPr>
        <w:t xml:space="preserve">The EDTF recommendations represent a further step towards the inclusion of risk-based information in financial reporting and may increase the need for alignment between risk and finance functions, particularly in relation to the </w:t>
      </w:r>
      <w:r>
        <w:rPr>
          <w:rFonts w:cs="Tms Rmn"/>
          <w:color w:val="000000"/>
          <w:sz w:val="24"/>
          <w:szCs w:val="24"/>
          <w:lang w:eastAsia="de-CH"/>
        </w:rPr>
        <w:t>control environment surrounding externally reported risk information.</w:t>
      </w:r>
    </w:p>
    <w:p w:rsidR="00D81336" w:rsidRDefault="00D81336">
      <w:pPr>
        <w:rPr>
          <w:sz w:val="24"/>
          <w:szCs w:val="24"/>
        </w:rPr>
      </w:pPr>
    </w:p>
    <w:p w:rsidR="00D81336" w:rsidRDefault="00A77FF6">
      <w:pPr>
        <w:rPr>
          <w:rFonts w:ascii="Calibri" w:hAnsi="Calibri" w:cs="Calibri"/>
          <w:color w:val="000000"/>
          <w:szCs w:val="20"/>
          <w:lang w:eastAsia="de-CH"/>
        </w:rPr>
      </w:pPr>
      <w:r>
        <w:rPr>
          <w:sz w:val="24"/>
          <w:szCs w:val="24"/>
        </w:rPr>
        <w:t xml:space="preserve">“One of the key challenges that we have faced since the financial crisis, is how to rebuild trust in our financial institutions.  The recommendations of the EDTF are a significant step </w:t>
      </w:r>
      <w:r>
        <w:rPr>
          <w:sz w:val="24"/>
          <w:szCs w:val="24"/>
        </w:rPr>
        <w:t>towards restoring confidence in the banking industry and we look forward to working with other stakeholders to turn these recommendations into pragmatic solutions”, said Dennis Nally, chairman PricewaterhouseCoopers International.</w:t>
      </w:r>
    </w:p>
    <w:p w:rsidR="00D81336" w:rsidRDefault="00D81336">
      <w:pPr>
        <w:rPr>
          <w:rFonts w:cs="Arial"/>
          <w:bCs/>
        </w:rPr>
      </w:pPr>
    </w:p>
    <w:p w:rsidR="00D81336" w:rsidRDefault="00D81336">
      <w:pPr>
        <w:rPr>
          <w:rFonts w:cs="Arial"/>
          <w:bCs/>
        </w:rPr>
      </w:pPr>
    </w:p>
    <w:p w:rsidR="00D81336" w:rsidRPr="00F17ADF" w:rsidRDefault="00D81336">
      <w:pPr>
        <w:rPr>
          <w:rFonts w:cs="Arial"/>
          <w:b/>
          <w:bCs/>
        </w:rPr>
      </w:pPr>
    </w:p>
    <w:p w:rsidR="00D81336" w:rsidRDefault="00A77FF6">
      <w:pPr>
        <w:ind w:left="7200" w:firstLine="720"/>
        <w:rPr>
          <w:rFonts w:cs="Arial"/>
          <w:color w:val="000000"/>
          <w:szCs w:val="20"/>
          <w:lang w:val="en-US"/>
        </w:rPr>
      </w:pPr>
      <w:r>
        <w:rPr>
          <w:rFonts w:cs="Arial"/>
          <w:color w:val="000000"/>
          <w:szCs w:val="20"/>
          <w:lang w:val="en-US"/>
        </w:rPr>
        <w:t>/…Ends</w:t>
      </w:r>
    </w:p>
    <w:p w:rsidR="00D81336" w:rsidRDefault="00A77FF6">
      <w:pPr>
        <w:rPr>
          <w:rFonts w:cs="Arial"/>
          <w:color w:val="000000"/>
          <w:sz w:val="18"/>
          <w:szCs w:val="18"/>
          <w:lang w:val="en-US"/>
        </w:rPr>
      </w:pPr>
      <w:r>
        <w:rPr>
          <w:rFonts w:cs="Arial"/>
          <w:color w:val="000000"/>
          <w:lang w:val="en-US"/>
        </w:rPr>
        <w:lastRenderedPageBreak/>
        <w:t>Notes:</w:t>
      </w:r>
    </w:p>
    <w:p w:rsidR="00D81336" w:rsidRDefault="00D81336">
      <w:pPr>
        <w:rPr>
          <w:rFonts w:cs="Arial"/>
          <w:color w:val="000000"/>
          <w:lang w:val="en-US"/>
        </w:rPr>
      </w:pPr>
    </w:p>
    <w:p w:rsidR="00D81336" w:rsidRDefault="00D81336" w:rsidP="00F17ADF">
      <w:pPr>
        <w:rPr>
          <w:rFonts w:cs="Arial"/>
          <w:color w:val="000000"/>
          <w:lang w:val="en-US"/>
        </w:rPr>
      </w:pPr>
    </w:p>
    <w:p w:rsidR="00D81336" w:rsidRPr="00F17ADF" w:rsidRDefault="00A77FF6" w:rsidP="00F17ADF">
      <w:pPr>
        <w:numPr>
          <w:ilvl w:val="0"/>
          <w:numId w:val="13"/>
        </w:numPr>
        <w:tabs>
          <w:tab w:val="clear" w:pos="720"/>
          <w:tab w:val="num" w:pos="330"/>
        </w:tabs>
        <w:ind w:left="330" w:hanging="330"/>
        <w:rPr>
          <w:rFonts w:cs="Arial"/>
          <w:color w:val="000000"/>
          <w:lang w:val="en-US"/>
        </w:rPr>
      </w:pPr>
      <w:r w:rsidRPr="00F17ADF">
        <w:rPr>
          <w:bCs/>
          <w:szCs w:val="20"/>
          <w:lang w:val="en-US"/>
        </w:rPr>
        <w:t>P</w:t>
      </w:r>
      <w:r w:rsidRPr="00F17ADF">
        <w:rPr>
          <w:szCs w:val="20"/>
        </w:rPr>
        <w:t xml:space="preserve">wC helps organisations and individuals create the value they’re looking for.  We’re a network of firms in 158 countries with more than 180,000 people who are committed to delivering quality in assurance, tax and advisory services.  Tell us what matters to </w:t>
      </w:r>
      <w:r w:rsidRPr="00F17ADF">
        <w:rPr>
          <w:szCs w:val="20"/>
        </w:rPr>
        <w:t xml:space="preserve">you and find out more by visiting us at </w:t>
      </w:r>
      <w:hyperlink r:id="rId8" w:history="1">
        <w:r w:rsidRPr="00F17ADF">
          <w:rPr>
            <w:rStyle w:val="Hyperlink"/>
            <w:color w:val="auto"/>
            <w:szCs w:val="20"/>
          </w:rPr>
          <w:t>www.pwc.com</w:t>
        </w:r>
      </w:hyperlink>
      <w:r w:rsidRPr="00F17ADF">
        <w:rPr>
          <w:szCs w:val="20"/>
        </w:rPr>
        <w:t>.</w:t>
      </w:r>
      <w:r w:rsidR="00F17ADF">
        <w:rPr>
          <w:szCs w:val="20"/>
        </w:rPr>
        <w:br/>
      </w:r>
      <w:r w:rsidR="00F17ADF">
        <w:rPr>
          <w:szCs w:val="20"/>
        </w:rPr>
        <w:br/>
      </w:r>
      <w:r>
        <w:t>PwC refers to the PwC network and/or one or more of its member firms, each of which is a separate legal entity. Please see www.pwc.com/structure for further details.</w:t>
      </w:r>
    </w:p>
    <w:p w:rsidR="00D81336" w:rsidRDefault="00D81336"/>
    <w:p w:rsidR="00D81336" w:rsidRDefault="00A77FF6">
      <w:pPr>
        <w:ind w:firstLine="330"/>
        <w:rPr>
          <w:rFonts w:cs="Arial"/>
        </w:rPr>
      </w:pPr>
      <w:r>
        <w:rPr>
          <w:rFonts w:eastAsia="Times New Roman" w:cstheme="minorHAnsi"/>
          <w:sz w:val="17"/>
          <w:szCs w:val="17"/>
          <w:lang w:val="en-US" w:eastAsia="de-CH"/>
        </w:rPr>
        <w:t xml:space="preserve">© </w:t>
      </w:r>
      <w:r w:rsidR="00F17ADF">
        <w:rPr>
          <w:rFonts w:cs="Arial"/>
        </w:rPr>
        <w:t xml:space="preserve">2012 PricewaterhouseCoopers. </w:t>
      </w:r>
      <w:r>
        <w:rPr>
          <w:rFonts w:cs="Arial"/>
        </w:rPr>
        <w:t>All rights reserved.</w:t>
      </w:r>
    </w:p>
    <w:p w:rsidR="00D81336" w:rsidRDefault="00D81336">
      <w:pPr>
        <w:rPr>
          <w:rFonts w:cs="Arial"/>
          <w:bCs/>
          <w:szCs w:val="24"/>
        </w:rPr>
      </w:pPr>
    </w:p>
    <w:sectPr w:rsidR="00D81336" w:rsidSect="00D81336">
      <w:headerReference w:type="even" r:id="rId9"/>
      <w:headerReference w:type="default" r:id="rId10"/>
      <w:footerReference w:type="even" r:id="rId11"/>
      <w:footerReference w:type="default" r:id="rId12"/>
      <w:headerReference w:type="first" r:id="rId13"/>
      <w:pgSz w:w="11907" w:h="16839"/>
      <w:pgMar w:top="3137" w:right="850" w:bottom="1417"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F6" w:rsidRDefault="00A77FF6">
      <w:pPr>
        <w:spacing w:line="240" w:lineRule="auto"/>
      </w:pPr>
      <w:r>
        <w:separator/>
      </w:r>
    </w:p>
  </w:endnote>
  <w:endnote w:type="continuationSeparator" w:id="0">
    <w:p w:rsidR="00A77FF6" w:rsidRDefault="00A77F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D81336">
    <w:pPr>
      <w:pStyle w:val="Footer"/>
    </w:pPr>
    <w:fldSimple w:instr=" PAGE  \* MERGEFORMAT ">
      <w:r w:rsidR="00F17ADF">
        <w:rPr>
          <w:noProof/>
        </w:rPr>
        <w:t>2</w:t>
      </w:r>
    </w:fldSimple>
    <w:r w:rsidR="00A77FF6">
      <w:t xml:space="preserve"> of </w:t>
    </w:r>
    <w:fldSimple w:instr=" NUMPAGES  \* MERGEFORMAT ">
      <w:r w:rsidR="00F17AD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D81336">
    <w:pPr>
      <w:pStyle w:val="Footer"/>
    </w:pPr>
    <w:fldSimple w:instr=" PAGE  \* MERGEFORMAT ">
      <w:r w:rsidR="00A77FF6">
        <w:rPr>
          <w:noProof/>
        </w:rPr>
        <w:t>2</w:t>
      </w:r>
    </w:fldSimple>
    <w:r w:rsidR="00A77FF6">
      <w:t xml:space="preserve"> of </w:t>
    </w:r>
    <w:fldSimple w:instr=" NUMPAGES  \* MERGEFORMAT ">
      <w:r w:rsidR="00A77FF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F6" w:rsidRDefault="00A77FF6">
      <w:pPr>
        <w:spacing w:line="240" w:lineRule="auto"/>
      </w:pPr>
      <w:r>
        <w:separator/>
      </w:r>
    </w:p>
  </w:footnote>
  <w:footnote w:type="continuationSeparator" w:id="0">
    <w:p w:rsidR="00A77FF6" w:rsidRDefault="00A77F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eastAsia="en-GB"/>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eastAsia="en-GB"/>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3">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attachedTemplate r:id="rId1"/>
  <w:defaultTabStop w:val="720"/>
  <w:hyphenationZone w:val="425"/>
  <w:evenAndOddHeaders/>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D81336"/>
    <w:rsid w:val="00A77FF6"/>
    <w:rsid w:val="00D81336"/>
    <w:rsid w:val="00F17A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c.com/g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ke.davies@pwc.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svanpelt001</cp:lastModifiedBy>
  <cp:revision>2</cp:revision>
  <cp:lastPrinted>2012-10-30T14:35:00Z</cp:lastPrinted>
  <dcterms:created xsi:type="dcterms:W3CDTF">2012-10-31T00:07:00Z</dcterms:created>
  <dcterms:modified xsi:type="dcterms:W3CDTF">2012-10-31T00:07:00Z</dcterms:modified>
</cp:coreProperties>
</file>