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55" w:rsidRDefault="002574A9" w:rsidP="00C22A05">
      <w:pPr>
        <w:tabs>
          <w:tab w:val="center" w:pos="4536"/>
        </w:tabs>
        <w:rPr>
          <w:i/>
        </w:rPr>
      </w:pPr>
      <w:r>
        <w:rPr>
          <w:i/>
          <w:noProof/>
          <w:lang w:eastAsia="en-GB"/>
        </w:rPr>
        <w:pict>
          <v:shape id="_x0000_s1026" style="position:absolute;margin-left:87.85pt;margin-top:771.05pt;width:465pt;height:11.35pt;z-index:251657216;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rsidR="00044CA2">
        <w:rPr>
          <w:i/>
        </w:rPr>
        <w:tab/>
      </w:r>
    </w:p>
    <w:p w:rsidR="00416E55" w:rsidRDefault="00044CA2" w:rsidP="00C22A05">
      <w:pPr>
        <w:pStyle w:val="Title"/>
        <w:spacing w:after="0"/>
        <w:rPr>
          <w:rFonts w:ascii="Georgia" w:hAnsi="Georgia"/>
          <w:sz w:val="22"/>
          <w:szCs w:val="22"/>
        </w:rPr>
      </w:pPr>
      <w:r>
        <w:rPr>
          <w:rFonts w:ascii="Georgia" w:hAnsi="Georgia"/>
          <w:sz w:val="22"/>
          <w:szCs w:val="22"/>
        </w:rPr>
        <w:t>Press Release</w:t>
      </w:r>
    </w:p>
    <w:p w:rsidR="007C4DB5" w:rsidRPr="007C4DB5" w:rsidRDefault="007C4DB5" w:rsidP="007C4DB5"/>
    <w:tbl>
      <w:tblPr>
        <w:tblpPr w:leftFromText="180" w:rightFromText="180" w:vertAnchor="text" w:tblpXSpec="center" w:tblpY="1"/>
        <w:tblOverlap w:val="never"/>
        <w:tblW w:w="0" w:type="auto"/>
        <w:tblLayout w:type="fixed"/>
        <w:tblLook w:val="0000"/>
      </w:tblPr>
      <w:tblGrid>
        <w:gridCol w:w="2268"/>
        <w:gridCol w:w="5211"/>
      </w:tblGrid>
      <w:tr w:rsidR="00416E55">
        <w:tc>
          <w:tcPr>
            <w:tcW w:w="2268" w:type="dxa"/>
            <w:shd w:val="clear" w:color="auto" w:fill="auto"/>
          </w:tcPr>
          <w:p w:rsidR="00416E55" w:rsidRDefault="00044CA2" w:rsidP="00C22A05">
            <w:pPr>
              <w:rPr>
                <w:i/>
                <w:sz w:val="22"/>
              </w:rPr>
            </w:pPr>
            <w:r>
              <w:rPr>
                <w:i/>
                <w:sz w:val="22"/>
              </w:rPr>
              <w:t>Date</w:t>
            </w:r>
          </w:p>
        </w:tc>
        <w:tc>
          <w:tcPr>
            <w:tcW w:w="5211" w:type="dxa"/>
            <w:shd w:val="clear" w:color="auto" w:fill="auto"/>
          </w:tcPr>
          <w:p w:rsidR="00416E55" w:rsidRDefault="007C4DB5" w:rsidP="00C22A05">
            <w:pPr>
              <w:rPr>
                <w:b/>
                <w:color w:val="000000" w:themeColor="text1"/>
                <w:sz w:val="22"/>
              </w:rPr>
            </w:pPr>
            <w:r>
              <w:rPr>
                <w:b/>
                <w:color w:val="000000" w:themeColor="text1"/>
                <w:sz w:val="22"/>
              </w:rPr>
              <w:t>21 August 2012</w:t>
            </w:r>
          </w:p>
          <w:p w:rsidR="00416E55" w:rsidRDefault="00416E55" w:rsidP="00C22A05">
            <w:pPr>
              <w:rPr>
                <w:b/>
                <w:sz w:val="22"/>
              </w:rPr>
            </w:pPr>
          </w:p>
        </w:tc>
      </w:tr>
      <w:tr w:rsidR="00416E55">
        <w:tc>
          <w:tcPr>
            <w:tcW w:w="2268" w:type="dxa"/>
            <w:shd w:val="clear" w:color="auto" w:fill="auto"/>
          </w:tcPr>
          <w:p w:rsidR="00416E55" w:rsidRDefault="00044CA2" w:rsidP="00C22A05">
            <w:pPr>
              <w:rPr>
                <w:i/>
                <w:sz w:val="22"/>
              </w:rPr>
            </w:pPr>
            <w:r>
              <w:rPr>
                <w:i/>
                <w:sz w:val="22"/>
              </w:rPr>
              <w:t>Contact</w:t>
            </w:r>
          </w:p>
        </w:tc>
        <w:tc>
          <w:tcPr>
            <w:tcW w:w="5211" w:type="dxa"/>
            <w:shd w:val="clear" w:color="auto" w:fill="auto"/>
          </w:tcPr>
          <w:p w:rsidR="007C4DB5" w:rsidRPr="006741DA" w:rsidRDefault="007C4DB5" w:rsidP="007C4DB5">
            <w:pPr>
              <w:tabs>
                <w:tab w:val="left" w:pos="2880"/>
                <w:tab w:val="left" w:pos="6120"/>
              </w:tabs>
              <w:ind w:left="72"/>
              <w:rPr>
                <w:rFonts w:cs="Arial"/>
                <w:color w:val="000000" w:themeColor="text1"/>
                <w:szCs w:val="20"/>
                <w:lang w:val="de-DE"/>
              </w:rPr>
            </w:pPr>
            <w:r w:rsidRPr="00592B80">
              <w:rPr>
                <w:rFonts w:cs="Arial"/>
                <w:color w:val="000000" w:themeColor="text1"/>
                <w:szCs w:val="20"/>
                <w:lang w:val="de-DE"/>
              </w:rPr>
              <w:t>Kristin McCallum</w:t>
            </w:r>
          </w:p>
          <w:p w:rsidR="007C4DB5" w:rsidRPr="006741DA" w:rsidRDefault="007C4DB5" w:rsidP="007C4DB5">
            <w:pPr>
              <w:tabs>
                <w:tab w:val="left" w:pos="2880"/>
                <w:tab w:val="left" w:pos="6120"/>
              </w:tabs>
              <w:ind w:left="72"/>
              <w:rPr>
                <w:rFonts w:cs="Arial"/>
                <w:color w:val="000000" w:themeColor="text1"/>
                <w:szCs w:val="20"/>
                <w:lang w:val="de-DE"/>
              </w:rPr>
            </w:pPr>
            <w:r w:rsidRPr="00592B80">
              <w:rPr>
                <w:rFonts w:cs="Arial"/>
                <w:color w:val="000000" w:themeColor="text1"/>
                <w:szCs w:val="20"/>
                <w:lang w:val="de-DE"/>
              </w:rPr>
              <w:t>PwC</w:t>
            </w:r>
            <w:r w:rsidRPr="00592B80">
              <w:rPr>
                <w:rFonts w:cs="Arial"/>
                <w:color w:val="000000" w:themeColor="text1"/>
                <w:szCs w:val="20"/>
                <w:lang w:val="de-DE"/>
              </w:rPr>
              <w:br/>
            </w:r>
            <w:r>
              <w:rPr>
                <w:rFonts w:cs="Arial"/>
                <w:color w:val="000000" w:themeColor="text1"/>
                <w:szCs w:val="20"/>
                <w:lang w:val="de-DE"/>
              </w:rPr>
              <w:t xml:space="preserve">Tel: </w:t>
            </w:r>
            <w:r w:rsidRPr="00592B80">
              <w:rPr>
                <w:rFonts w:cs="Arial"/>
                <w:color w:val="000000" w:themeColor="text1"/>
                <w:szCs w:val="20"/>
                <w:lang w:val="de-DE"/>
              </w:rPr>
              <w:t>+1 (313) 394-6349</w:t>
            </w:r>
          </w:p>
          <w:p w:rsidR="007C4DB5" w:rsidRDefault="007C4DB5" w:rsidP="007C4DB5">
            <w:pPr>
              <w:ind w:left="72"/>
              <w:rPr>
                <w:rFonts w:cs="Arial"/>
                <w:smallCaps/>
                <w:szCs w:val="20"/>
              </w:rPr>
            </w:pPr>
            <w:r>
              <w:t xml:space="preserve">Email: </w:t>
            </w:r>
            <w:hyperlink r:id="rId8" w:history="1">
              <w:r w:rsidRPr="00592B80">
                <w:rPr>
                  <w:rStyle w:val="Hyperlink"/>
                  <w:rFonts w:cs="Arial"/>
                  <w:color w:val="000000" w:themeColor="text1"/>
                  <w:szCs w:val="20"/>
                  <w:lang w:val="de-DE"/>
                </w:rPr>
                <w:t>kristin.l.mccallum@us.pwc.com</w:t>
              </w:r>
            </w:hyperlink>
          </w:p>
          <w:p w:rsidR="00416E55" w:rsidRDefault="00416E55" w:rsidP="00C22A05">
            <w:pPr>
              <w:tabs>
                <w:tab w:val="left" w:pos="1440"/>
              </w:tabs>
              <w:ind w:left="1440" w:hanging="1440"/>
              <w:rPr>
                <w:sz w:val="22"/>
                <w:lang w:val="it-IT"/>
              </w:rPr>
            </w:pPr>
          </w:p>
        </w:tc>
      </w:tr>
      <w:tr w:rsidR="00416E55">
        <w:tc>
          <w:tcPr>
            <w:tcW w:w="2268" w:type="dxa"/>
            <w:shd w:val="clear" w:color="auto" w:fill="auto"/>
          </w:tcPr>
          <w:p w:rsidR="00416E55" w:rsidRDefault="00044CA2" w:rsidP="00C22A05">
            <w:pPr>
              <w:rPr>
                <w:i/>
                <w:sz w:val="22"/>
              </w:rPr>
            </w:pPr>
            <w:r>
              <w:rPr>
                <w:i/>
                <w:sz w:val="22"/>
              </w:rPr>
              <w:t xml:space="preserve">Pages </w:t>
            </w:r>
          </w:p>
        </w:tc>
        <w:tc>
          <w:tcPr>
            <w:tcW w:w="5211" w:type="dxa"/>
            <w:shd w:val="clear" w:color="auto" w:fill="auto"/>
          </w:tcPr>
          <w:p w:rsidR="00416E55" w:rsidRDefault="00C22A05" w:rsidP="00C22A05">
            <w:pPr>
              <w:rPr>
                <w:sz w:val="22"/>
              </w:rPr>
            </w:pPr>
            <w:r>
              <w:rPr>
                <w:sz w:val="22"/>
              </w:rPr>
              <w:t>3</w:t>
            </w:r>
          </w:p>
        </w:tc>
      </w:tr>
    </w:tbl>
    <w:p w:rsidR="00416E55" w:rsidRDefault="002574A9" w:rsidP="00C22A05">
      <w:pPr>
        <w:rPr>
          <w:sz w:val="18"/>
          <w:szCs w:val="18"/>
        </w:rPr>
      </w:pPr>
      <w:r w:rsidRPr="002574A9">
        <w:rPr>
          <w:noProof/>
          <w:sz w:val="22"/>
          <w:lang w:eastAsia="zh-CN"/>
        </w:rPr>
        <w:pict>
          <v:line id="_x0000_s1027" style="position:absolute;z-index:251658240;mso-position-horizontal-relative:page;mso-position-vertical-relative:page" from="64.45pt,302.1pt" to="519.5pt,302.1pt" strokecolor="#e36c0a">
            <w10:wrap anchorx="page" anchory="page"/>
          </v:line>
        </w:pict>
      </w:r>
      <w:r w:rsidR="00044CA2">
        <w:rPr>
          <w:rFonts w:cs="Arial"/>
          <w:b/>
          <w:i/>
          <w:iCs/>
          <w:sz w:val="22"/>
        </w:rPr>
        <w:br w:type="textWrapping" w:clear="all"/>
      </w:r>
    </w:p>
    <w:p w:rsidR="00416E55" w:rsidRPr="009106F5" w:rsidRDefault="00416E55" w:rsidP="00C22A05">
      <w:pPr>
        <w:pStyle w:val="Heading"/>
        <w:rPr>
          <w:rFonts w:ascii="Georgia" w:hAnsi="Georgia"/>
          <w:sz w:val="20"/>
        </w:rPr>
      </w:pPr>
    </w:p>
    <w:p w:rsidR="00C22A05" w:rsidRPr="0087592B" w:rsidRDefault="00C22A05" w:rsidP="007C4DB5">
      <w:pPr>
        <w:jc w:val="center"/>
        <w:rPr>
          <w:rFonts w:cs="Arial"/>
          <w:b/>
          <w:sz w:val="28"/>
          <w:szCs w:val="28"/>
        </w:rPr>
      </w:pPr>
      <w:r w:rsidRPr="0087592B">
        <w:rPr>
          <w:rFonts w:cs="Arial"/>
          <w:b/>
          <w:sz w:val="28"/>
          <w:szCs w:val="28"/>
        </w:rPr>
        <w:t xml:space="preserve">Global </w:t>
      </w:r>
      <w:r>
        <w:rPr>
          <w:rFonts w:cs="Arial"/>
          <w:b/>
          <w:sz w:val="28"/>
          <w:szCs w:val="28"/>
        </w:rPr>
        <w:t>A</w:t>
      </w:r>
      <w:r w:rsidRPr="0087592B">
        <w:rPr>
          <w:rFonts w:cs="Arial"/>
          <w:b/>
          <w:sz w:val="28"/>
          <w:szCs w:val="28"/>
        </w:rPr>
        <w:t xml:space="preserve">utomotive </w:t>
      </w:r>
      <w:r>
        <w:rPr>
          <w:rFonts w:cs="Arial"/>
          <w:b/>
          <w:sz w:val="28"/>
          <w:szCs w:val="28"/>
        </w:rPr>
        <w:t>I</w:t>
      </w:r>
      <w:r w:rsidRPr="0087592B">
        <w:rPr>
          <w:rFonts w:cs="Arial"/>
          <w:b/>
          <w:sz w:val="28"/>
          <w:szCs w:val="28"/>
        </w:rPr>
        <w:t xml:space="preserve">ndustry M&amp;A </w:t>
      </w:r>
      <w:r>
        <w:rPr>
          <w:rFonts w:cs="Arial"/>
          <w:b/>
          <w:sz w:val="28"/>
          <w:szCs w:val="28"/>
        </w:rPr>
        <w:t>A</w:t>
      </w:r>
      <w:r w:rsidRPr="0087592B">
        <w:rPr>
          <w:rFonts w:cs="Arial"/>
          <w:b/>
          <w:sz w:val="28"/>
          <w:szCs w:val="28"/>
        </w:rPr>
        <w:t xml:space="preserve">ctivity </w:t>
      </w:r>
      <w:r>
        <w:rPr>
          <w:rFonts w:cs="Arial"/>
          <w:b/>
          <w:sz w:val="28"/>
          <w:szCs w:val="28"/>
        </w:rPr>
        <w:t>Declined in F</w:t>
      </w:r>
      <w:r w:rsidRPr="0087592B">
        <w:rPr>
          <w:rFonts w:cs="Arial"/>
          <w:b/>
          <w:sz w:val="28"/>
          <w:szCs w:val="28"/>
        </w:rPr>
        <w:t xml:space="preserve">irst </w:t>
      </w:r>
      <w:r>
        <w:rPr>
          <w:rFonts w:cs="Arial"/>
          <w:b/>
          <w:sz w:val="28"/>
          <w:szCs w:val="28"/>
        </w:rPr>
        <w:t>H</w:t>
      </w:r>
      <w:r w:rsidRPr="0087592B">
        <w:rPr>
          <w:rFonts w:cs="Arial"/>
          <w:b/>
          <w:sz w:val="28"/>
          <w:szCs w:val="28"/>
        </w:rPr>
        <w:t>alf of 201</w:t>
      </w:r>
      <w:r>
        <w:rPr>
          <w:rFonts w:cs="Arial"/>
          <w:b/>
          <w:sz w:val="28"/>
          <w:szCs w:val="28"/>
        </w:rPr>
        <w:t>2</w:t>
      </w:r>
      <w:r w:rsidRPr="0087592B">
        <w:rPr>
          <w:rFonts w:cs="Arial"/>
          <w:b/>
          <w:sz w:val="28"/>
          <w:szCs w:val="28"/>
        </w:rPr>
        <w:t xml:space="preserve">, </w:t>
      </w:r>
      <w:r>
        <w:rPr>
          <w:rFonts w:cs="Arial"/>
          <w:b/>
          <w:sz w:val="28"/>
          <w:szCs w:val="28"/>
        </w:rPr>
        <w:t>A</w:t>
      </w:r>
      <w:r w:rsidRPr="0087592B">
        <w:rPr>
          <w:rFonts w:cs="Arial"/>
          <w:b/>
          <w:sz w:val="28"/>
          <w:szCs w:val="28"/>
        </w:rPr>
        <w:t>ccording to PwC</w:t>
      </w:r>
    </w:p>
    <w:p w:rsidR="00C22A05" w:rsidRPr="00C22A05" w:rsidRDefault="00C22A05" w:rsidP="007C4DB5">
      <w:pPr>
        <w:rPr>
          <w:rFonts w:cs="Arial"/>
          <w:sz w:val="22"/>
        </w:rPr>
      </w:pPr>
    </w:p>
    <w:p w:rsidR="00C22A05" w:rsidRPr="00C22A05" w:rsidRDefault="00C22A05" w:rsidP="007C4DB5">
      <w:pPr>
        <w:jc w:val="center"/>
        <w:rPr>
          <w:rFonts w:cs="Arial"/>
          <w:i/>
          <w:sz w:val="22"/>
        </w:rPr>
      </w:pPr>
      <w:r w:rsidRPr="00C22A05">
        <w:rPr>
          <w:rFonts w:cs="Arial"/>
          <w:i/>
          <w:sz w:val="22"/>
        </w:rPr>
        <w:t>Auto opportunities on the horizon in technology and emerging markets</w:t>
      </w:r>
    </w:p>
    <w:p w:rsidR="00C22A05" w:rsidRPr="004A08CC" w:rsidRDefault="00C22A05" w:rsidP="007C4DB5">
      <w:pPr>
        <w:rPr>
          <w:rFonts w:cs="Arial"/>
        </w:rPr>
      </w:pPr>
    </w:p>
    <w:p w:rsidR="00C22A05" w:rsidRPr="00F74C8A" w:rsidRDefault="00C22A05" w:rsidP="007C4DB5">
      <w:pPr>
        <w:spacing w:line="260" w:lineRule="exact"/>
        <w:rPr>
          <w:rFonts w:cs="Arial"/>
          <w:bCs/>
          <w:sz w:val="22"/>
        </w:rPr>
      </w:pPr>
      <w:r w:rsidRPr="00F74C8A">
        <w:rPr>
          <w:rFonts w:cs="Arial"/>
          <w:b/>
          <w:bCs/>
          <w:sz w:val="22"/>
        </w:rPr>
        <w:t xml:space="preserve">Detroit, August </w:t>
      </w:r>
      <w:r>
        <w:rPr>
          <w:rFonts w:cs="Arial"/>
          <w:b/>
          <w:bCs/>
          <w:sz w:val="22"/>
        </w:rPr>
        <w:t>21, 2012</w:t>
      </w:r>
      <w:r w:rsidRPr="00F74C8A">
        <w:rPr>
          <w:rFonts w:cs="Arial"/>
          <w:b/>
          <w:bCs/>
          <w:sz w:val="22"/>
        </w:rPr>
        <w:t xml:space="preserve"> </w:t>
      </w:r>
      <w:r w:rsidRPr="00F74C8A">
        <w:rPr>
          <w:rFonts w:cs="Arial"/>
          <w:sz w:val="22"/>
        </w:rPr>
        <w:t>―</w:t>
      </w:r>
      <w:r w:rsidRPr="00F74C8A">
        <w:rPr>
          <w:rFonts w:cs="Arial"/>
          <w:bCs/>
          <w:sz w:val="22"/>
        </w:rPr>
        <w:t xml:space="preserve"> </w:t>
      </w:r>
      <w:r>
        <w:rPr>
          <w:rFonts w:cs="Arial"/>
          <w:bCs/>
          <w:sz w:val="22"/>
        </w:rPr>
        <w:t>G</w:t>
      </w:r>
      <w:r w:rsidRPr="00F74C8A">
        <w:rPr>
          <w:rFonts w:cs="Arial"/>
          <w:bCs/>
          <w:sz w:val="22"/>
        </w:rPr>
        <w:t>lobal automotive industry merger and acquisition (M&amp;A) activity slow</w:t>
      </w:r>
      <w:r>
        <w:rPr>
          <w:rFonts w:cs="Arial"/>
          <w:bCs/>
          <w:sz w:val="22"/>
        </w:rPr>
        <w:t>ed</w:t>
      </w:r>
      <w:r w:rsidRPr="00F74C8A">
        <w:rPr>
          <w:rFonts w:cs="Arial"/>
          <w:bCs/>
          <w:sz w:val="22"/>
        </w:rPr>
        <w:t xml:space="preserve"> during the first half (H1) of 2012, according to PwC's automotive transaction services practice. In H1 2012, 264 deals closed with a disclosed value of $10.6 billion</w:t>
      </w:r>
      <w:r>
        <w:rPr>
          <w:rFonts w:cs="Arial"/>
          <w:bCs/>
          <w:sz w:val="22"/>
        </w:rPr>
        <w:t>, reflecting</w:t>
      </w:r>
      <w:r w:rsidRPr="00F74C8A">
        <w:rPr>
          <w:rFonts w:cs="Arial"/>
          <w:bCs/>
          <w:sz w:val="22"/>
        </w:rPr>
        <w:t xml:space="preserve"> a sizeable decline compared to H1 2011, which totaled 303 completed deals with a disclosed valued at $18.8 billion.</w:t>
      </w:r>
    </w:p>
    <w:p w:rsidR="00C22A05" w:rsidRPr="00F74C8A" w:rsidRDefault="00C22A05" w:rsidP="007C4DB5">
      <w:pPr>
        <w:spacing w:line="260" w:lineRule="exact"/>
        <w:rPr>
          <w:rFonts w:cs="Arial"/>
          <w:bCs/>
          <w:sz w:val="22"/>
        </w:rPr>
      </w:pPr>
    </w:p>
    <w:p w:rsidR="00C22A05" w:rsidRPr="00F74C8A" w:rsidRDefault="00C22A05" w:rsidP="007C4DB5">
      <w:pPr>
        <w:spacing w:line="260" w:lineRule="exact"/>
        <w:rPr>
          <w:rFonts w:cs="Arial"/>
          <w:bCs/>
          <w:sz w:val="22"/>
        </w:rPr>
      </w:pPr>
      <w:r w:rsidRPr="00F74C8A">
        <w:rPr>
          <w:rFonts w:cs="Arial"/>
          <w:bCs/>
          <w:sz w:val="22"/>
        </w:rPr>
        <w:t>"Europe is taking a toll on global M&amp;A deal activity," said Paul Elie, U.S. automotive tra</w:t>
      </w:r>
      <w:r>
        <w:rPr>
          <w:rFonts w:cs="Arial"/>
          <w:bCs/>
          <w:sz w:val="22"/>
        </w:rPr>
        <w:t>nsaction services leader, PwC. “</w:t>
      </w:r>
      <w:r w:rsidRPr="00F74C8A">
        <w:rPr>
          <w:rFonts w:cs="Arial"/>
          <w:bCs/>
          <w:sz w:val="22"/>
        </w:rPr>
        <w:t xml:space="preserve">Historically, Europe has been </w:t>
      </w:r>
      <w:r>
        <w:rPr>
          <w:rFonts w:cs="Arial"/>
          <w:bCs/>
          <w:sz w:val="22"/>
        </w:rPr>
        <w:t>among the most</w:t>
      </w:r>
      <w:r w:rsidRPr="00F74C8A">
        <w:rPr>
          <w:rFonts w:cs="Arial"/>
          <w:bCs/>
          <w:sz w:val="22"/>
        </w:rPr>
        <w:t xml:space="preserve"> act</w:t>
      </w:r>
      <w:r>
        <w:rPr>
          <w:rFonts w:cs="Arial"/>
          <w:bCs/>
          <w:sz w:val="22"/>
        </w:rPr>
        <w:t xml:space="preserve">ive regions in automotive M&amp;A. </w:t>
      </w:r>
      <w:r w:rsidRPr="00F74C8A">
        <w:rPr>
          <w:rFonts w:cs="Arial"/>
          <w:bCs/>
          <w:sz w:val="22"/>
        </w:rPr>
        <w:t xml:space="preserve">That said, opportunities </w:t>
      </w:r>
      <w:r>
        <w:rPr>
          <w:rFonts w:cs="Arial"/>
          <w:bCs/>
          <w:sz w:val="22"/>
        </w:rPr>
        <w:t xml:space="preserve">exist </w:t>
      </w:r>
      <w:r w:rsidRPr="00F74C8A">
        <w:rPr>
          <w:rFonts w:cs="Arial"/>
          <w:bCs/>
          <w:sz w:val="22"/>
        </w:rPr>
        <w:t xml:space="preserve">for automotive companies </w:t>
      </w:r>
      <w:r>
        <w:rPr>
          <w:rFonts w:cs="Arial"/>
          <w:bCs/>
          <w:sz w:val="22"/>
        </w:rPr>
        <w:t xml:space="preserve">from emerging countries like China and India </w:t>
      </w:r>
      <w:r w:rsidRPr="00F74C8A">
        <w:rPr>
          <w:rFonts w:cs="Arial"/>
          <w:bCs/>
          <w:sz w:val="22"/>
        </w:rPr>
        <w:t xml:space="preserve">to </w:t>
      </w:r>
      <w:r>
        <w:rPr>
          <w:rFonts w:cs="Arial"/>
          <w:bCs/>
          <w:sz w:val="22"/>
        </w:rPr>
        <w:t xml:space="preserve">acquire </w:t>
      </w:r>
      <w:r w:rsidRPr="00F74C8A">
        <w:rPr>
          <w:rFonts w:cs="Arial"/>
          <w:bCs/>
          <w:sz w:val="22"/>
        </w:rPr>
        <w:t xml:space="preserve">technology </w:t>
      </w:r>
      <w:r>
        <w:rPr>
          <w:rFonts w:cs="Arial"/>
          <w:bCs/>
          <w:sz w:val="22"/>
        </w:rPr>
        <w:t>or market access at favorable valuations in Europe.”</w:t>
      </w:r>
    </w:p>
    <w:p w:rsidR="00C22A05" w:rsidRPr="00C22A05" w:rsidRDefault="00C22A05" w:rsidP="007C4DB5">
      <w:pPr>
        <w:spacing w:line="260" w:lineRule="exact"/>
        <w:rPr>
          <w:rFonts w:cs="Arial"/>
          <w:noProof/>
          <w:sz w:val="22"/>
          <w:lang w:eastAsia="en-GB"/>
        </w:rPr>
      </w:pPr>
    </w:p>
    <w:p w:rsidR="00C22A05" w:rsidRPr="00C22A05" w:rsidRDefault="00C22A05" w:rsidP="007C4DB5">
      <w:pPr>
        <w:pStyle w:val="BodyText"/>
        <w:spacing w:after="0"/>
        <w:rPr>
          <w:rFonts w:cs="Arial"/>
          <w:b/>
          <w:sz w:val="22"/>
        </w:rPr>
      </w:pPr>
      <w:r w:rsidRPr="00C22A05">
        <w:rPr>
          <w:rFonts w:cs="Arial"/>
          <w:sz w:val="22"/>
        </w:rPr>
        <w:t>The current crisis and ensuing austerity measures significantly impacted the automotive industry with new car registrations declining by 6.3 percent through H1 of the year. PwC's Autofacts expects 2012 annual sales for Europe to decline by 7.3 percent to 12.6 million units, nearly 3.4 million units below the 2007 peak. Given the current manufacturing footprint in Europe, the region is now straddled with nearly 5.8 million units of excess light vehicle manufacturing capacity. These challenges have diminished the appetite and resources among European strategic buyers.</w:t>
      </w:r>
    </w:p>
    <w:p w:rsidR="00C22A05" w:rsidRPr="00C22A05" w:rsidRDefault="00C22A05" w:rsidP="007C4DB5">
      <w:pPr>
        <w:pStyle w:val="BodyText"/>
        <w:spacing w:after="0"/>
        <w:rPr>
          <w:rFonts w:cs="Arial"/>
          <w:b/>
          <w:sz w:val="22"/>
        </w:rPr>
      </w:pPr>
    </w:p>
    <w:p w:rsidR="00C22A05" w:rsidRPr="00C22A05" w:rsidRDefault="00C22A05" w:rsidP="007C4DB5">
      <w:pPr>
        <w:pStyle w:val="BodyText"/>
        <w:spacing w:after="0"/>
        <w:rPr>
          <w:rFonts w:cs="Arial"/>
          <w:b/>
          <w:sz w:val="22"/>
        </w:rPr>
      </w:pPr>
      <w:r w:rsidRPr="00C22A05">
        <w:rPr>
          <w:rFonts w:cs="Arial"/>
          <w:sz w:val="22"/>
        </w:rPr>
        <w:t>These challenges have also heightened the risks around European assets and exposure to the region. The current operating environment in Europe may translate into favourable valuations and an increase in inbound M&amp;A activity geared towards acquiring technology and/or market access over the next 12 to 18 months.</w:t>
      </w:r>
    </w:p>
    <w:p w:rsidR="00C22A05" w:rsidRPr="00C22A05" w:rsidRDefault="00C22A05" w:rsidP="007C4DB5">
      <w:pPr>
        <w:pStyle w:val="BodyText"/>
        <w:spacing w:after="0"/>
        <w:rPr>
          <w:rFonts w:cs="Arial"/>
          <w:b/>
          <w:sz w:val="22"/>
        </w:rPr>
      </w:pPr>
    </w:p>
    <w:p w:rsidR="00C22A05" w:rsidRDefault="00C22A05" w:rsidP="007C4DB5">
      <w:pPr>
        <w:pStyle w:val="BodyText"/>
        <w:spacing w:after="0"/>
        <w:rPr>
          <w:rFonts w:cs="Arial"/>
          <w:sz w:val="22"/>
        </w:rPr>
      </w:pPr>
      <w:r w:rsidRPr="00C22A05">
        <w:rPr>
          <w:rFonts w:cs="Arial"/>
          <w:sz w:val="22"/>
        </w:rPr>
        <w:t xml:space="preserve">Unlike Europe, North America underwent restructuring during the 2008 – 2009 recession, and is now attracting more investments. North American operations are also churning out significant profits, providing strategic buyers with the financial resources to execute M&amp;A strategies. As a result, North American acquirers’ share of global M&amp;A increased from 20 </w:t>
      </w:r>
      <w:r w:rsidRPr="00C22A05">
        <w:rPr>
          <w:rFonts w:cs="Arial"/>
          <w:sz w:val="22"/>
        </w:rPr>
        <w:lastRenderedPageBreak/>
        <w:t>percent in 2010 to 26 percent in the H1 of 2012. North American entities were also the most prominent cross-border acquirers, with 16 out of 46 cross border deals.</w:t>
      </w:r>
    </w:p>
    <w:p w:rsidR="007C4DB5" w:rsidRPr="00C22A05" w:rsidRDefault="007C4DB5" w:rsidP="007C4DB5">
      <w:pPr>
        <w:pStyle w:val="BodyText"/>
        <w:spacing w:after="0"/>
        <w:rPr>
          <w:rFonts w:cs="Arial"/>
          <w:noProof/>
          <w:sz w:val="22"/>
          <w:lang w:eastAsia="en-GB"/>
        </w:rPr>
      </w:pPr>
    </w:p>
    <w:p w:rsidR="00C22A05" w:rsidRPr="00C22A05" w:rsidRDefault="00C22A05" w:rsidP="007C4DB5">
      <w:pPr>
        <w:pStyle w:val="BodyText"/>
        <w:spacing w:after="0"/>
        <w:rPr>
          <w:rFonts w:cs="Arial"/>
          <w:b/>
          <w:sz w:val="22"/>
        </w:rPr>
      </w:pPr>
      <w:r w:rsidRPr="00C22A05">
        <w:rPr>
          <w:rFonts w:cs="Arial"/>
          <w:sz w:val="22"/>
        </w:rPr>
        <w:t>Asia was the most active region with more than a third of the global automotive M&amp;A activity during the H1 of 2012. However, most activity was intra-regional, with 86 out of 98 transactions between Asian entities. With the domestic sales slowdown in both China and India, buyers from these markets may look for opportunities to augment domestic sales. These buyers are also likely to pursue technology deals to compete globally, as well as to defend against foreign competition.</w:t>
      </w:r>
    </w:p>
    <w:p w:rsidR="00C22A05" w:rsidRPr="00C22A05" w:rsidRDefault="00C22A05" w:rsidP="007C4DB5">
      <w:pPr>
        <w:pStyle w:val="BodyText"/>
        <w:spacing w:after="0"/>
        <w:rPr>
          <w:rFonts w:cs="Arial"/>
          <w:b/>
          <w:sz w:val="22"/>
        </w:rPr>
      </w:pPr>
    </w:p>
    <w:p w:rsidR="00C22A05" w:rsidRPr="00C22A05" w:rsidRDefault="00C22A05" w:rsidP="007C4DB5">
      <w:pPr>
        <w:spacing w:line="260" w:lineRule="exact"/>
        <w:rPr>
          <w:rFonts w:cs="Arial"/>
          <w:b/>
          <w:sz w:val="22"/>
        </w:rPr>
      </w:pPr>
      <w:r w:rsidRPr="00C22A05">
        <w:rPr>
          <w:rFonts w:cs="Arial"/>
          <w:b/>
          <w:bCs/>
          <w:sz w:val="22"/>
        </w:rPr>
        <w:t>Component suppliers showing resilience</w:t>
      </w:r>
    </w:p>
    <w:p w:rsidR="00C22A05" w:rsidRPr="00C22A05" w:rsidRDefault="00C22A05" w:rsidP="007C4DB5">
      <w:pPr>
        <w:pStyle w:val="BodyText"/>
        <w:spacing w:after="0"/>
        <w:rPr>
          <w:rFonts w:cs="Arial"/>
          <w:b/>
          <w:sz w:val="22"/>
        </w:rPr>
      </w:pPr>
      <w:r w:rsidRPr="00C22A05">
        <w:rPr>
          <w:rFonts w:cs="Arial"/>
          <w:sz w:val="22"/>
        </w:rPr>
        <w:t>While deal activity slowed across all categories, component suppliers were the most resilient, registering only a five percent decline in deal volume compared to 19 percent and 21 percent declines in vehicle manufacturers and other categories respectively. A recent PwC supplier consolidation study predicts sustained component supplier M&amp;A activity, with sub-categories such as chassis and powertrain systems as the focal points.  . Not surprisingly, the study also finds North American buyers as the most likely to drive M&amp;A activity in the supplier space.  This is due to their relative financial strength compared to Europe and Japan.</w:t>
      </w:r>
    </w:p>
    <w:p w:rsidR="00C22A05" w:rsidRPr="00C22A05" w:rsidRDefault="00C22A05" w:rsidP="007C4DB5">
      <w:pPr>
        <w:rPr>
          <w:rFonts w:cs="Arial"/>
          <w:noProof/>
          <w:sz w:val="22"/>
          <w:lang w:eastAsia="en-GB"/>
        </w:rPr>
      </w:pPr>
    </w:p>
    <w:p w:rsidR="00C22A05" w:rsidRPr="00C22A05" w:rsidRDefault="00C22A05" w:rsidP="007C4DB5">
      <w:pPr>
        <w:pStyle w:val="BodyText"/>
        <w:spacing w:after="0"/>
        <w:rPr>
          <w:rFonts w:cs="Arial"/>
          <w:b/>
          <w:sz w:val="22"/>
        </w:rPr>
      </w:pPr>
      <w:r w:rsidRPr="00C22A05">
        <w:rPr>
          <w:rFonts w:cs="Arial"/>
          <w:sz w:val="22"/>
        </w:rPr>
        <w:t xml:space="preserve">Consistent with the overall Automotive M&amp;A deal market, both financial and trade buyers' M&amp;A activity slowed during H1 of 2012 compared to H1 of 2011. However, the financial buyers’ share of M&amp;A volume declined to 22 percent, levels not witnessed since the depths of the recession. </w:t>
      </w:r>
    </w:p>
    <w:p w:rsidR="00C22A05" w:rsidRPr="00C22A05" w:rsidRDefault="00C22A05" w:rsidP="007C4DB5">
      <w:pPr>
        <w:pStyle w:val="BodyText"/>
        <w:spacing w:after="0"/>
        <w:rPr>
          <w:rFonts w:cs="Arial"/>
          <w:b/>
          <w:sz w:val="22"/>
        </w:rPr>
      </w:pPr>
    </w:p>
    <w:p w:rsidR="00C22A05" w:rsidRPr="00C22A05" w:rsidRDefault="00C22A05" w:rsidP="007C4DB5">
      <w:pPr>
        <w:pStyle w:val="BodyText"/>
        <w:spacing w:after="0"/>
        <w:rPr>
          <w:rFonts w:cs="Arial"/>
          <w:b/>
          <w:sz w:val="22"/>
        </w:rPr>
      </w:pPr>
      <w:r w:rsidRPr="00C22A05">
        <w:rPr>
          <w:rFonts w:cs="Arial"/>
          <w:sz w:val="22"/>
        </w:rPr>
        <w:t xml:space="preserve">Similar to the overall M&amp;A trends, financial buyer activity focused on component suppliers, with nearly 55 percent of their deals in this space. This is a significant change from last year, when financial buyers increased their focus on the others category, comprised of aftermarket, retail, repair, financial services, etc. From a regional perspective, financial buyers continued to shift away from Europe, gravitating toward deals in more stable economic and operating climates such as the U.S. </w:t>
      </w:r>
    </w:p>
    <w:p w:rsidR="00C22A05" w:rsidRPr="00C22A05" w:rsidRDefault="00C22A05" w:rsidP="007C4DB5">
      <w:pPr>
        <w:rPr>
          <w:rFonts w:cs="Arial"/>
          <w:noProof/>
          <w:sz w:val="22"/>
          <w:lang w:eastAsia="en-GB"/>
        </w:rPr>
      </w:pPr>
    </w:p>
    <w:p w:rsidR="00C22A05" w:rsidRPr="00C22A05" w:rsidRDefault="00C22A05" w:rsidP="007C4DB5">
      <w:pPr>
        <w:spacing w:line="260" w:lineRule="exact"/>
        <w:rPr>
          <w:rFonts w:cs="Arial"/>
          <w:b/>
          <w:bCs/>
          <w:sz w:val="22"/>
        </w:rPr>
      </w:pPr>
      <w:r w:rsidRPr="00C22A05">
        <w:rPr>
          <w:rFonts w:cs="Arial"/>
          <w:b/>
          <w:bCs/>
          <w:sz w:val="22"/>
        </w:rPr>
        <w:t>Deal activity outlook positive</w:t>
      </w:r>
    </w:p>
    <w:p w:rsidR="00C22A05" w:rsidRPr="00C22A05" w:rsidRDefault="00C22A05" w:rsidP="007C4DB5">
      <w:pPr>
        <w:pStyle w:val="BodyText"/>
        <w:spacing w:after="0"/>
        <w:rPr>
          <w:b/>
          <w:iCs/>
          <w:sz w:val="22"/>
        </w:rPr>
      </w:pPr>
      <w:r w:rsidRPr="00C22A05">
        <w:rPr>
          <w:iCs/>
          <w:sz w:val="22"/>
        </w:rPr>
        <w:t xml:space="preserve">PwC’s positive outlook for M&amp;A stems from the fact that the global automotive sector is expected to add nearly 30 million units between 2012 and 2018. Given technological changes as well as industry fragmentation, M&amp;A activity will likely continue to be an important option, although the timing for an increase remains uncertain.  </w:t>
      </w:r>
    </w:p>
    <w:p w:rsidR="00C22A05" w:rsidRPr="00C22A05" w:rsidRDefault="00C22A05" w:rsidP="007C4DB5">
      <w:pPr>
        <w:pStyle w:val="BodyText"/>
        <w:spacing w:after="0"/>
        <w:rPr>
          <w:b/>
          <w:bCs/>
          <w:iCs/>
          <w:sz w:val="22"/>
        </w:rPr>
      </w:pPr>
    </w:p>
    <w:p w:rsidR="00C22A05" w:rsidRPr="00C22A05" w:rsidRDefault="00C22A05" w:rsidP="007C4DB5">
      <w:pPr>
        <w:pStyle w:val="BodyText"/>
        <w:spacing w:after="0"/>
        <w:rPr>
          <w:b/>
          <w:bCs/>
          <w:iCs/>
          <w:sz w:val="22"/>
        </w:rPr>
      </w:pPr>
      <w:r w:rsidRPr="00C22A05">
        <w:rPr>
          <w:iCs/>
          <w:sz w:val="22"/>
        </w:rPr>
        <w:t>According to Elie, " PwC maintains positive expectations for deal activity contingent upon the following conditions: Successful resolution of Europe’s sovereign debt crisis; Strong economic recovery in developed markets such as the United States and Japan; and Resumption of trend line economic growth in emerging markets like China and India."</w:t>
      </w:r>
    </w:p>
    <w:p w:rsidR="00C22A05" w:rsidRPr="00C22A05" w:rsidRDefault="00C22A05" w:rsidP="007C4DB5">
      <w:pPr>
        <w:autoSpaceDE w:val="0"/>
        <w:autoSpaceDN w:val="0"/>
        <w:adjustRightInd w:val="0"/>
        <w:rPr>
          <w:rFonts w:cs="Helv"/>
          <w:iCs/>
          <w:color w:val="000000"/>
          <w:sz w:val="22"/>
        </w:rPr>
      </w:pPr>
    </w:p>
    <w:p w:rsidR="00C22A05" w:rsidRPr="00C22A05" w:rsidRDefault="00C22A05" w:rsidP="007C4DB5">
      <w:pPr>
        <w:autoSpaceDE w:val="0"/>
        <w:autoSpaceDN w:val="0"/>
        <w:adjustRightInd w:val="0"/>
        <w:rPr>
          <w:rFonts w:cs="Helv"/>
          <w:b/>
          <w:iCs/>
          <w:color w:val="000000"/>
          <w:sz w:val="22"/>
        </w:rPr>
      </w:pPr>
      <w:r w:rsidRPr="00C22A05">
        <w:rPr>
          <w:rFonts w:cs="Helv"/>
          <w:b/>
          <w:iCs/>
          <w:color w:val="000000"/>
          <w:sz w:val="22"/>
        </w:rPr>
        <w:t>About PwC's Automotive Practice</w:t>
      </w:r>
    </w:p>
    <w:p w:rsidR="00C22A05" w:rsidRPr="00C22A05" w:rsidRDefault="00C22A05" w:rsidP="007C4DB5">
      <w:pPr>
        <w:autoSpaceDE w:val="0"/>
        <w:autoSpaceDN w:val="0"/>
        <w:adjustRightInd w:val="0"/>
        <w:rPr>
          <w:rFonts w:cs="Helv"/>
          <w:color w:val="000000"/>
          <w:sz w:val="22"/>
        </w:rPr>
      </w:pPr>
      <w:r w:rsidRPr="00C22A05">
        <w:rPr>
          <w:rFonts w:cs="Helv"/>
          <w:iCs/>
          <w:color w:val="000000"/>
          <w:sz w:val="22"/>
        </w:rPr>
        <w:t>PwC's global automotive practice leverages its extensive experience in the industry to help companies solve complex business challenges with efficiency and qu</w:t>
      </w:r>
      <w:r w:rsidRPr="00C22A05">
        <w:rPr>
          <w:rFonts w:cs="Helv"/>
          <w:color w:val="000000"/>
          <w:sz w:val="22"/>
        </w:rPr>
        <w:t>ality.  One of PwC's global automotive practice's key competitive advantages is Autofacts</w:t>
      </w:r>
      <w:r w:rsidRPr="00C22A05">
        <w:rPr>
          <w:rFonts w:cs="Arial"/>
          <w:sz w:val="22"/>
          <w:vertAlign w:val="superscript"/>
        </w:rPr>
        <w:t>®</w:t>
      </w:r>
      <w:r w:rsidRPr="00C22A05">
        <w:rPr>
          <w:rFonts w:cs="Helv"/>
          <w:color w:val="000000"/>
          <w:sz w:val="22"/>
        </w:rPr>
        <w:t xml:space="preserve">, a team of automotive industry specialists dedicated to ongoing analysis of sector trends.  Autofacts provides our team of more than 4,600 automotive professionals and our clients with data and analysis to </w:t>
      </w:r>
      <w:r w:rsidRPr="00C22A05">
        <w:rPr>
          <w:rFonts w:cs="Helv"/>
          <w:color w:val="000000"/>
          <w:sz w:val="22"/>
        </w:rPr>
        <w:lastRenderedPageBreak/>
        <w:t xml:space="preserve">assess implications, make recommendations, and support decisions to compete in the global marketplace. </w:t>
      </w:r>
    </w:p>
    <w:p w:rsidR="00C22A05" w:rsidRPr="00C22A05" w:rsidRDefault="00C22A05" w:rsidP="007C4DB5">
      <w:pPr>
        <w:autoSpaceDE w:val="0"/>
        <w:autoSpaceDN w:val="0"/>
        <w:adjustRightInd w:val="0"/>
        <w:rPr>
          <w:rFonts w:cs="Helv"/>
          <w:color w:val="000000"/>
          <w:sz w:val="22"/>
        </w:rPr>
      </w:pPr>
    </w:p>
    <w:p w:rsidR="00C22A05" w:rsidRPr="00C22A05" w:rsidRDefault="00C22A05" w:rsidP="007C4DB5">
      <w:pPr>
        <w:rPr>
          <w:rFonts w:cs="Arial"/>
          <w:b/>
          <w:sz w:val="22"/>
        </w:rPr>
      </w:pPr>
      <w:r w:rsidRPr="00C22A05">
        <w:rPr>
          <w:rFonts w:cs="Arial"/>
          <w:b/>
          <w:sz w:val="22"/>
        </w:rPr>
        <w:t>About Autofacts®</w:t>
      </w:r>
    </w:p>
    <w:p w:rsidR="00C22A05" w:rsidRPr="00C22A05" w:rsidRDefault="00C22A05" w:rsidP="007C4DB5">
      <w:pPr>
        <w:rPr>
          <w:rFonts w:cs="Arial"/>
          <w:sz w:val="22"/>
        </w:rPr>
      </w:pPr>
      <w:r w:rsidRPr="00C22A05">
        <w:rPr>
          <w:rFonts w:cs="Arial"/>
          <w:sz w:val="22"/>
        </w:rPr>
        <w:t xml:space="preserve">Autofacts, PwC's automotive forecasting service, is a provider of automotive market analysis, strategy development, and competitive intelligence to the world’s leading vehicle manufacturers, automotive suppliers, and support organizations.  Autofacts service offerings are available on-demand, for </w:t>
      </w:r>
      <w:r w:rsidRPr="00C22A05">
        <w:rPr>
          <w:sz w:val="22"/>
        </w:rPr>
        <w:t xml:space="preserve">one-time purchase and through an annual subscription basis to access the on-line portal with Autofacts' proprietary data query tool.  </w:t>
      </w:r>
      <w:r w:rsidRPr="00C22A05">
        <w:rPr>
          <w:rFonts w:cs="Arial"/>
          <w:sz w:val="22"/>
        </w:rPr>
        <w:t xml:space="preserve">For more information regarding Autofacts, please visit their website at </w:t>
      </w:r>
      <w:hyperlink r:id="rId9" w:history="1">
        <w:r w:rsidRPr="00C22A05">
          <w:rPr>
            <w:rStyle w:val="Hyperlink"/>
            <w:rFonts w:cs="Arial"/>
            <w:sz w:val="22"/>
          </w:rPr>
          <w:t>www.autofacts.com</w:t>
        </w:r>
      </w:hyperlink>
      <w:r w:rsidRPr="00C22A05">
        <w:rPr>
          <w:rFonts w:cs="Arial"/>
          <w:sz w:val="22"/>
        </w:rPr>
        <w:t>.</w:t>
      </w:r>
    </w:p>
    <w:p w:rsidR="00C22A05" w:rsidRPr="00C22A05" w:rsidRDefault="00C22A05" w:rsidP="007C4DB5">
      <w:pPr>
        <w:rPr>
          <w:b/>
          <w:bCs/>
          <w:sz w:val="22"/>
        </w:rPr>
      </w:pPr>
    </w:p>
    <w:p w:rsidR="00C22A05" w:rsidRPr="00C22A05" w:rsidRDefault="00C22A05" w:rsidP="007C4DB5">
      <w:pPr>
        <w:spacing w:line="260" w:lineRule="exact"/>
        <w:rPr>
          <w:rFonts w:cs="Arial"/>
          <w:b/>
          <w:bCs/>
          <w:sz w:val="22"/>
        </w:rPr>
      </w:pPr>
      <w:r w:rsidRPr="00C22A05">
        <w:rPr>
          <w:rFonts w:cs="Arial"/>
          <w:b/>
          <w:bCs/>
          <w:sz w:val="22"/>
        </w:rPr>
        <w:t>About the Transaction Services Practice</w:t>
      </w:r>
    </w:p>
    <w:p w:rsidR="007C4DB5" w:rsidRDefault="00C22A05" w:rsidP="007C4DB5">
      <w:pPr>
        <w:pStyle w:val="BodyText2"/>
        <w:spacing w:after="0" w:line="240" w:lineRule="auto"/>
        <w:rPr>
          <w:rFonts w:ascii="Georgia" w:hAnsi="Georgia" w:cs="Georgia"/>
          <w:color w:val="000000"/>
          <w:sz w:val="22"/>
          <w:szCs w:val="22"/>
        </w:rPr>
      </w:pPr>
      <w:hyperlink r:id="rId10" w:history="1">
        <w:r w:rsidRPr="00C22A05">
          <w:rPr>
            <w:rFonts w:ascii="Georgia" w:hAnsi="Georgia" w:cs="Georgia"/>
            <w:color w:val="000000"/>
            <w:sz w:val="22"/>
            <w:szCs w:val="22"/>
          </w:rPr>
          <w:t xml:space="preserve">PwC’s Deals </w:t>
        </w:r>
      </w:hyperlink>
      <w:r w:rsidRPr="00C22A05">
        <w:rPr>
          <w:rFonts w:ascii="Georgia" w:hAnsi="Georgia" w:cs="Georgia"/>
          <w:color w:val="000000"/>
          <w:sz w:val="22"/>
          <w:szCs w:val="22"/>
        </w:rPr>
        <w:t xml:space="preserve">practitioners help corporate and private equity executives navigate transactions to maximize value and returns. In today's increasingly daunting economic and regulatory environment, experienced M&amp;A specialists assist clients on a range of transactions from smaller and mid-sized deals to the most complex transactions, including domestic and cross-border acquisitions, divestitures and spin-offs, capital events such as IPOs and debt offerings, and bankruptcies and other business reorganizations. First we help clients with strategic planning around their growth and investment agendas and then advise on the business-wide risks and value drivers in their transactions for more empowered negotiations, decision making and execution. Clients can then expedite their deals, minimize their risks, capture and deliver value to their stakeholders, and quickly return to business as usual. </w:t>
      </w:r>
    </w:p>
    <w:p w:rsidR="007C4DB5" w:rsidRDefault="007C4DB5" w:rsidP="007C4DB5">
      <w:pPr>
        <w:pStyle w:val="BodyText2"/>
        <w:spacing w:after="0" w:line="240" w:lineRule="auto"/>
        <w:rPr>
          <w:rFonts w:ascii="Georgia" w:hAnsi="Georgia" w:cs="Georgia"/>
          <w:color w:val="000000"/>
          <w:sz w:val="22"/>
          <w:szCs w:val="22"/>
        </w:rPr>
      </w:pPr>
    </w:p>
    <w:p w:rsidR="007C4DB5" w:rsidRDefault="00C22A05" w:rsidP="007C4DB5">
      <w:pPr>
        <w:pStyle w:val="BodyText2"/>
        <w:spacing w:after="0" w:line="240" w:lineRule="auto"/>
        <w:rPr>
          <w:rFonts w:ascii="Georgia" w:hAnsi="Georgia" w:cs="Helv"/>
          <w:color w:val="000000"/>
          <w:sz w:val="22"/>
          <w:szCs w:val="22"/>
        </w:rPr>
      </w:pPr>
      <w:r w:rsidRPr="00C22A05">
        <w:rPr>
          <w:rFonts w:ascii="Georgia" w:hAnsi="Georgia" w:cs="Georgia"/>
          <w:color w:val="000000"/>
          <w:sz w:val="22"/>
          <w:szCs w:val="22"/>
        </w:rPr>
        <w:t>Our local and global deal strength is derived from over 1,400 deal professionals in 21 cities in the U.S. and over 9,800 deal professionals across a global network of firms in 75 countries.  In addition, our network firm, PwC Corporate Finance, provides investment banking services within the U.S</w:t>
      </w:r>
      <w:r w:rsidRPr="00C22A05">
        <w:rPr>
          <w:rFonts w:ascii="Georgia" w:hAnsi="Georgia" w:cs="Helv"/>
          <w:color w:val="000000"/>
          <w:sz w:val="22"/>
          <w:szCs w:val="22"/>
        </w:rPr>
        <w:t>.</w:t>
      </w:r>
    </w:p>
    <w:p w:rsidR="00C22A05" w:rsidRPr="00C22A05" w:rsidRDefault="00C22A05" w:rsidP="007C4DB5">
      <w:pPr>
        <w:pStyle w:val="BodyText2"/>
        <w:spacing w:after="0" w:line="240" w:lineRule="auto"/>
        <w:rPr>
          <w:rFonts w:ascii="Georgia" w:hAnsi="Georgia" w:cs="Arial"/>
          <w:sz w:val="22"/>
          <w:szCs w:val="22"/>
        </w:rPr>
      </w:pPr>
    </w:p>
    <w:p w:rsidR="00C22A05" w:rsidRPr="00C22A05" w:rsidRDefault="00C22A05" w:rsidP="007C4DB5">
      <w:pPr>
        <w:rPr>
          <w:b/>
          <w:bCs/>
          <w:sz w:val="22"/>
        </w:rPr>
      </w:pPr>
      <w:hyperlink r:id="rId11" w:history="1">
        <w:r w:rsidRPr="00C22A05">
          <w:rPr>
            <w:rStyle w:val="Hyperlink"/>
            <w:b/>
            <w:bCs/>
            <w:sz w:val="22"/>
          </w:rPr>
          <w:t>About the PwC Network</w:t>
        </w:r>
      </w:hyperlink>
      <w:r w:rsidRPr="00C22A05">
        <w:rPr>
          <w:b/>
          <w:bCs/>
          <w:sz w:val="22"/>
        </w:rPr>
        <w:t xml:space="preserve"> </w:t>
      </w:r>
    </w:p>
    <w:p w:rsidR="007C4DB5" w:rsidRPr="007C4DB5" w:rsidRDefault="007C4DB5" w:rsidP="007C4DB5">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Helv"/>
          <w:color w:val="000000"/>
          <w:sz w:val="22"/>
          <w:lang w:eastAsia="en-GB"/>
        </w:rPr>
      </w:pPr>
      <w:r w:rsidRPr="007C4DB5">
        <w:rPr>
          <w:rFonts w:cs="Georgia"/>
          <w:color w:val="000000"/>
          <w:sz w:val="22"/>
          <w:lang w:eastAsia="en-GB"/>
        </w:rPr>
        <w:t>PwC firms help organisations and individuals create the value they’re looking for. We’re a network of firms in 158 countries with close to 169,000 people who are committed to delivering quality in assurance, tax and advisory services. Tell us what matters to you and find out more by visiting us at www.pwc.com.</w:t>
      </w:r>
      <w:r w:rsidRPr="007C4DB5">
        <w:rPr>
          <w:rFonts w:cs="Helv"/>
          <w:color w:val="000000"/>
          <w:sz w:val="22"/>
          <w:lang w:eastAsia="en-GB"/>
        </w:rPr>
        <w:t xml:space="preserve"> </w:t>
      </w:r>
    </w:p>
    <w:p w:rsidR="007C4DB5" w:rsidRDefault="007C4DB5" w:rsidP="007C4DB5">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Helv"/>
          <w:color w:val="000000"/>
          <w:szCs w:val="20"/>
          <w:lang w:eastAsia="en-GB"/>
        </w:rPr>
      </w:pPr>
    </w:p>
    <w:p w:rsidR="00C22A05" w:rsidRPr="00C22A05" w:rsidRDefault="00C22A05" w:rsidP="007C4DB5">
      <w:pPr>
        <w:rPr>
          <w:bCs/>
          <w:sz w:val="22"/>
        </w:rPr>
      </w:pPr>
    </w:p>
    <w:p w:rsidR="00C22A05" w:rsidRPr="00C22A05" w:rsidRDefault="00C22A05" w:rsidP="007C4DB5">
      <w:pPr>
        <w:rPr>
          <w:bCs/>
          <w:sz w:val="22"/>
        </w:rPr>
      </w:pPr>
      <w:r w:rsidRPr="00C22A05">
        <w:rPr>
          <w:bCs/>
          <w:sz w:val="22"/>
        </w:rPr>
        <w:t>© 2012 PwC. All rights reserved. Not for further distribution without the permission of PwC. “PwC” refers to the network of member firms of PricewaterhouseCoopers International Limited (PwCIL), or, as the context requires, individual member firms of the PwC network. Each member firm is a separate legal entity and does not act as agent of PwCIL or any other member firm. PwCIL does not provide any services to clients. PwCIL is not responsible or liable for the acts or omissions of any of its member firms nor can it control the exercise of their professional judgment or bind them in any way. No member firm is responsible or liable for the acts or omissions of any other member firm nor can it control the exercise of another member firm’s professional judgment or bind another member firm or PwCIL in any way.</w:t>
      </w:r>
    </w:p>
    <w:p w:rsidR="00C22A05" w:rsidRPr="00C22A05" w:rsidRDefault="00C22A05" w:rsidP="007C4DB5">
      <w:pPr>
        <w:rPr>
          <w:rFonts w:ascii="Arial Narrow" w:hAnsi="Arial Narrow"/>
          <w:sz w:val="22"/>
        </w:rPr>
      </w:pPr>
    </w:p>
    <w:p w:rsidR="00416E55" w:rsidRDefault="00416E55" w:rsidP="00C22A05">
      <w:pPr>
        <w:autoSpaceDE w:val="0"/>
        <w:autoSpaceDN w:val="0"/>
        <w:adjustRightInd w:val="0"/>
        <w:spacing w:line="240" w:lineRule="auto"/>
        <w:jc w:val="center"/>
        <w:rPr>
          <w:rFonts w:cs="Arial"/>
          <w:bCs/>
          <w:color w:val="000000" w:themeColor="text1"/>
          <w:sz w:val="22"/>
        </w:rPr>
      </w:pPr>
    </w:p>
    <w:sectPr w:rsidR="00416E55" w:rsidSect="009106F5">
      <w:headerReference w:type="even" r:id="rId12"/>
      <w:headerReference w:type="default" r:id="rId13"/>
      <w:footerReference w:type="even" r:id="rId14"/>
      <w:footerReference w:type="default" r:id="rId15"/>
      <w:headerReference w:type="first" r:id="rId16"/>
      <w:pgSz w:w="11907" w:h="16839"/>
      <w:pgMar w:top="3139" w:right="1440" w:bottom="1411" w:left="1440" w:header="562"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670" w:rsidRDefault="00E14670">
      <w:pPr>
        <w:spacing w:line="240" w:lineRule="auto"/>
      </w:pPr>
      <w:r>
        <w:separator/>
      </w:r>
    </w:p>
  </w:endnote>
  <w:endnote w:type="continuationSeparator" w:id="0">
    <w:p w:rsidR="00E14670" w:rsidRDefault="00E146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2574A9">
    <w:pPr>
      <w:pStyle w:val="Footer"/>
    </w:pPr>
    <w:fldSimple w:instr=" PAGE  \* MERGEFORMAT ">
      <w:r w:rsidR="00F05198">
        <w:rPr>
          <w:noProof/>
        </w:rPr>
        <w:t>2</w:t>
      </w:r>
    </w:fldSimple>
    <w:r w:rsidR="00044CA2">
      <w:t xml:space="preserve"> of </w:t>
    </w:r>
    <w:fldSimple w:instr=" NUMPAGES  \* MERGEFORMAT ">
      <w:r w:rsidR="00F05198">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2574A9">
    <w:pPr>
      <w:pStyle w:val="Footer"/>
    </w:pPr>
    <w:fldSimple w:instr=" PAGE  \* MERGEFORMAT ">
      <w:r w:rsidR="00F05198">
        <w:rPr>
          <w:noProof/>
        </w:rPr>
        <w:t>3</w:t>
      </w:r>
    </w:fldSimple>
    <w:r w:rsidR="00044CA2">
      <w:t xml:space="preserve"> of </w:t>
    </w:r>
    <w:fldSimple w:instr=" NUMPAGES  \* MERGEFORMAT ">
      <w:r w:rsidR="00F0519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670" w:rsidRDefault="00E14670">
      <w:pPr>
        <w:spacing w:line="240" w:lineRule="auto"/>
      </w:pPr>
      <w:r>
        <w:separator/>
      </w:r>
    </w:p>
  </w:footnote>
  <w:footnote w:type="continuationSeparator" w:id="0">
    <w:p w:rsidR="00E14670" w:rsidRDefault="00E146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044CA2">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16E55" w:rsidRDefault="00416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044CA2">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16E55" w:rsidRDefault="00416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044CA2">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42DEA"/>
    <w:multiLevelType w:val="hybridMultilevel"/>
    <w:tmpl w:val="278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C63E86"/>
    <w:multiLevelType w:val="hybridMultilevel"/>
    <w:tmpl w:val="D37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3D0E17"/>
    <w:multiLevelType w:val="hybridMultilevel"/>
    <w:tmpl w:val="6FC8D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F92519"/>
    <w:multiLevelType w:val="hybridMultilevel"/>
    <w:tmpl w:val="BC3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65894"/>
    <w:multiLevelType w:val="hybridMultilevel"/>
    <w:tmpl w:val="D9D8C5E2"/>
    <w:lvl w:ilvl="0" w:tplc="144ADDF6">
      <w:start w:val="1"/>
      <w:numFmt w:val="bullet"/>
      <w:lvlText w:val="•"/>
      <w:lvlJc w:val="left"/>
      <w:pPr>
        <w:tabs>
          <w:tab w:val="num" w:pos="1440"/>
        </w:tabs>
        <w:ind w:left="1440" w:hanging="360"/>
      </w:pPr>
      <w:rPr>
        <w:rFonts w:ascii="Arial" w:hAnsi="Arial" w:hint="default"/>
      </w:rPr>
    </w:lvl>
    <w:lvl w:ilvl="1" w:tplc="DF2A0FAA" w:tentative="1">
      <w:start w:val="1"/>
      <w:numFmt w:val="bullet"/>
      <w:lvlText w:val="•"/>
      <w:lvlJc w:val="left"/>
      <w:pPr>
        <w:tabs>
          <w:tab w:val="num" w:pos="2160"/>
        </w:tabs>
        <w:ind w:left="2160" w:hanging="360"/>
      </w:pPr>
      <w:rPr>
        <w:rFonts w:ascii="Arial" w:hAnsi="Arial" w:hint="default"/>
      </w:rPr>
    </w:lvl>
    <w:lvl w:ilvl="2" w:tplc="60842B0C" w:tentative="1">
      <w:start w:val="1"/>
      <w:numFmt w:val="bullet"/>
      <w:lvlText w:val="•"/>
      <w:lvlJc w:val="left"/>
      <w:pPr>
        <w:tabs>
          <w:tab w:val="num" w:pos="2880"/>
        </w:tabs>
        <w:ind w:left="2880" w:hanging="360"/>
      </w:pPr>
      <w:rPr>
        <w:rFonts w:ascii="Arial" w:hAnsi="Arial" w:hint="default"/>
      </w:rPr>
    </w:lvl>
    <w:lvl w:ilvl="3" w:tplc="E0CEF1E6" w:tentative="1">
      <w:start w:val="1"/>
      <w:numFmt w:val="bullet"/>
      <w:lvlText w:val="•"/>
      <w:lvlJc w:val="left"/>
      <w:pPr>
        <w:tabs>
          <w:tab w:val="num" w:pos="3600"/>
        </w:tabs>
        <w:ind w:left="3600" w:hanging="360"/>
      </w:pPr>
      <w:rPr>
        <w:rFonts w:ascii="Arial" w:hAnsi="Arial" w:hint="default"/>
      </w:rPr>
    </w:lvl>
    <w:lvl w:ilvl="4" w:tplc="BBAA01E0" w:tentative="1">
      <w:start w:val="1"/>
      <w:numFmt w:val="bullet"/>
      <w:lvlText w:val="•"/>
      <w:lvlJc w:val="left"/>
      <w:pPr>
        <w:tabs>
          <w:tab w:val="num" w:pos="4320"/>
        </w:tabs>
        <w:ind w:left="4320" w:hanging="360"/>
      </w:pPr>
      <w:rPr>
        <w:rFonts w:ascii="Arial" w:hAnsi="Arial" w:hint="default"/>
      </w:rPr>
    </w:lvl>
    <w:lvl w:ilvl="5" w:tplc="26668AE8" w:tentative="1">
      <w:start w:val="1"/>
      <w:numFmt w:val="bullet"/>
      <w:lvlText w:val="•"/>
      <w:lvlJc w:val="left"/>
      <w:pPr>
        <w:tabs>
          <w:tab w:val="num" w:pos="5040"/>
        </w:tabs>
        <w:ind w:left="5040" w:hanging="360"/>
      </w:pPr>
      <w:rPr>
        <w:rFonts w:ascii="Arial" w:hAnsi="Arial" w:hint="default"/>
      </w:rPr>
    </w:lvl>
    <w:lvl w:ilvl="6" w:tplc="5638F280" w:tentative="1">
      <w:start w:val="1"/>
      <w:numFmt w:val="bullet"/>
      <w:lvlText w:val="•"/>
      <w:lvlJc w:val="left"/>
      <w:pPr>
        <w:tabs>
          <w:tab w:val="num" w:pos="5760"/>
        </w:tabs>
        <w:ind w:left="5760" w:hanging="360"/>
      </w:pPr>
      <w:rPr>
        <w:rFonts w:ascii="Arial" w:hAnsi="Arial" w:hint="default"/>
      </w:rPr>
    </w:lvl>
    <w:lvl w:ilvl="7" w:tplc="CEC4C450" w:tentative="1">
      <w:start w:val="1"/>
      <w:numFmt w:val="bullet"/>
      <w:lvlText w:val="•"/>
      <w:lvlJc w:val="left"/>
      <w:pPr>
        <w:tabs>
          <w:tab w:val="num" w:pos="6480"/>
        </w:tabs>
        <w:ind w:left="6480" w:hanging="360"/>
      </w:pPr>
      <w:rPr>
        <w:rFonts w:ascii="Arial" w:hAnsi="Arial" w:hint="default"/>
      </w:rPr>
    </w:lvl>
    <w:lvl w:ilvl="8" w:tplc="D326E894" w:tentative="1">
      <w:start w:val="1"/>
      <w:numFmt w:val="bullet"/>
      <w:lvlText w:val="•"/>
      <w:lvlJc w:val="left"/>
      <w:pPr>
        <w:tabs>
          <w:tab w:val="num" w:pos="7200"/>
        </w:tabs>
        <w:ind w:left="7200" w:hanging="360"/>
      </w:pPr>
      <w:rPr>
        <w:rFonts w:ascii="Arial" w:hAnsi="Arial" w:hint="default"/>
      </w:rPr>
    </w:lvl>
  </w:abstractNum>
  <w:abstractNum w:abstractNumId="14">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57819"/>
    <w:multiLevelType w:val="hybridMultilevel"/>
    <w:tmpl w:val="7466C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609E5"/>
    <w:multiLevelType w:val="hybridMultilevel"/>
    <w:tmpl w:val="8180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5138A"/>
    <w:multiLevelType w:val="hybridMultilevel"/>
    <w:tmpl w:val="E98EA896"/>
    <w:lvl w:ilvl="0" w:tplc="2D709CE6">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AA0E2F"/>
    <w:multiLevelType w:val="hybridMultilevel"/>
    <w:tmpl w:val="A158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6158B4"/>
    <w:multiLevelType w:val="hybridMultilevel"/>
    <w:tmpl w:val="930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B1028"/>
    <w:multiLevelType w:val="hybridMultilevel"/>
    <w:tmpl w:val="EB98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7F3813"/>
    <w:multiLevelType w:val="hybridMultilevel"/>
    <w:tmpl w:val="FAE0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EE3DDA"/>
    <w:multiLevelType w:val="hybridMultilevel"/>
    <w:tmpl w:val="3244A314"/>
    <w:lvl w:ilvl="0" w:tplc="CAA4963C">
      <w:start w:val="1"/>
      <w:numFmt w:val="bullet"/>
      <w:lvlText w:val="•"/>
      <w:lvlJc w:val="left"/>
      <w:pPr>
        <w:tabs>
          <w:tab w:val="num" w:pos="1440"/>
        </w:tabs>
        <w:ind w:left="1440" w:hanging="360"/>
      </w:pPr>
      <w:rPr>
        <w:rFonts w:ascii="Arial" w:hAnsi="Arial" w:hint="default"/>
      </w:rPr>
    </w:lvl>
    <w:lvl w:ilvl="1" w:tplc="1234A58E" w:tentative="1">
      <w:start w:val="1"/>
      <w:numFmt w:val="bullet"/>
      <w:lvlText w:val="•"/>
      <w:lvlJc w:val="left"/>
      <w:pPr>
        <w:tabs>
          <w:tab w:val="num" w:pos="2160"/>
        </w:tabs>
        <w:ind w:left="2160" w:hanging="360"/>
      </w:pPr>
      <w:rPr>
        <w:rFonts w:ascii="Arial" w:hAnsi="Arial" w:hint="default"/>
      </w:rPr>
    </w:lvl>
    <w:lvl w:ilvl="2" w:tplc="BEEE2D6C" w:tentative="1">
      <w:start w:val="1"/>
      <w:numFmt w:val="bullet"/>
      <w:lvlText w:val="•"/>
      <w:lvlJc w:val="left"/>
      <w:pPr>
        <w:tabs>
          <w:tab w:val="num" w:pos="2880"/>
        </w:tabs>
        <w:ind w:left="2880" w:hanging="360"/>
      </w:pPr>
      <w:rPr>
        <w:rFonts w:ascii="Arial" w:hAnsi="Arial" w:hint="default"/>
      </w:rPr>
    </w:lvl>
    <w:lvl w:ilvl="3" w:tplc="E08AA92E" w:tentative="1">
      <w:start w:val="1"/>
      <w:numFmt w:val="bullet"/>
      <w:lvlText w:val="•"/>
      <w:lvlJc w:val="left"/>
      <w:pPr>
        <w:tabs>
          <w:tab w:val="num" w:pos="3600"/>
        </w:tabs>
        <w:ind w:left="3600" w:hanging="360"/>
      </w:pPr>
      <w:rPr>
        <w:rFonts w:ascii="Arial" w:hAnsi="Arial" w:hint="default"/>
      </w:rPr>
    </w:lvl>
    <w:lvl w:ilvl="4" w:tplc="BDE8207C" w:tentative="1">
      <w:start w:val="1"/>
      <w:numFmt w:val="bullet"/>
      <w:lvlText w:val="•"/>
      <w:lvlJc w:val="left"/>
      <w:pPr>
        <w:tabs>
          <w:tab w:val="num" w:pos="4320"/>
        </w:tabs>
        <w:ind w:left="4320" w:hanging="360"/>
      </w:pPr>
      <w:rPr>
        <w:rFonts w:ascii="Arial" w:hAnsi="Arial" w:hint="default"/>
      </w:rPr>
    </w:lvl>
    <w:lvl w:ilvl="5" w:tplc="BE987636" w:tentative="1">
      <w:start w:val="1"/>
      <w:numFmt w:val="bullet"/>
      <w:lvlText w:val="•"/>
      <w:lvlJc w:val="left"/>
      <w:pPr>
        <w:tabs>
          <w:tab w:val="num" w:pos="5040"/>
        </w:tabs>
        <w:ind w:left="5040" w:hanging="360"/>
      </w:pPr>
      <w:rPr>
        <w:rFonts w:ascii="Arial" w:hAnsi="Arial" w:hint="default"/>
      </w:rPr>
    </w:lvl>
    <w:lvl w:ilvl="6" w:tplc="727807CC" w:tentative="1">
      <w:start w:val="1"/>
      <w:numFmt w:val="bullet"/>
      <w:lvlText w:val="•"/>
      <w:lvlJc w:val="left"/>
      <w:pPr>
        <w:tabs>
          <w:tab w:val="num" w:pos="5760"/>
        </w:tabs>
        <w:ind w:left="5760" w:hanging="360"/>
      </w:pPr>
      <w:rPr>
        <w:rFonts w:ascii="Arial" w:hAnsi="Arial" w:hint="default"/>
      </w:rPr>
    </w:lvl>
    <w:lvl w:ilvl="7" w:tplc="7EBEA7DC" w:tentative="1">
      <w:start w:val="1"/>
      <w:numFmt w:val="bullet"/>
      <w:lvlText w:val="•"/>
      <w:lvlJc w:val="left"/>
      <w:pPr>
        <w:tabs>
          <w:tab w:val="num" w:pos="6480"/>
        </w:tabs>
        <w:ind w:left="6480" w:hanging="360"/>
      </w:pPr>
      <w:rPr>
        <w:rFonts w:ascii="Arial" w:hAnsi="Arial" w:hint="default"/>
      </w:rPr>
    </w:lvl>
    <w:lvl w:ilvl="8" w:tplc="23DE66BA" w:tentative="1">
      <w:start w:val="1"/>
      <w:numFmt w:val="bullet"/>
      <w:lvlText w:val="•"/>
      <w:lvlJc w:val="left"/>
      <w:pPr>
        <w:tabs>
          <w:tab w:val="num" w:pos="7200"/>
        </w:tabs>
        <w:ind w:left="7200" w:hanging="360"/>
      </w:pPr>
      <w:rPr>
        <w:rFonts w:ascii="Arial" w:hAnsi="Arial" w:hint="default"/>
      </w:rPr>
    </w:lvl>
  </w:abstractNum>
  <w:abstractNum w:abstractNumId="3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2">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68DA300A"/>
    <w:multiLevelType w:val="multilevel"/>
    <w:tmpl w:val="7E366D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393317C"/>
    <w:multiLevelType w:val="hybridMultilevel"/>
    <w:tmpl w:val="6AF82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34"/>
  </w:num>
  <w:num w:numId="5">
    <w:abstractNumId w:val="34"/>
    <w:lvlOverride w:ilvl="0">
      <w:startOverride w:val="1"/>
    </w:lvlOverride>
  </w:num>
  <w:num w:numId="6">
    <w:abstractNumId w:val="5"/>
  </w:num>
  <w:num w:numId="7">
    <w:abstractNumId w:val="19"/>
  </w:num>
  <w:num w:numId="8">
    <w:abstractNumId w:val="20"/>
  </w:num>
  <w:num w:numId="9">
    <w:abstractNumId w:val="17"/>
  </w:num>
  <w:num w:numId="10">
    <w:abstractNumId w:val="1"/>
  </w:num>
  <w:num w:numId="11">
    <w:abstractNumId w:val="3"/>
  </w:num>
  <w:num w:numId="12">
    <w:abstractNumId w:val="14"/>
  </w:num>
  <w:num w:numId="13">
    <w:abstractNumId w:val="7"/>
  </w:num>
  <w:num w:numId="14">
    <w:abstractNumId w:val="31"/>
  </w:num>
  <w:num w:numId="15">
    <w:abstractNumId w:val="27"/>
  </w:num>
  <w:num w:numId="16">
    <w:abstractNumId w:val="0"/>
    <w:lvlOverride w:ilvl="0">
      <w:lvl w:ilvl="0">
        <w:numFmt w:val="bullet"/>
        <w:lvlText w:val="•"/>
        <w:legacy w:legacy="1" w:legacySpace="0" w:legacyIndent="0"/>
        <w:lvlJc w:val="left"/>
        <w:rPr>
          <w:rFonts w:ascii="Helv" w:hAnsi="Helv" w:hint="default"/>
        </w:rPr>
      </w:lvl>
    </w:lvlOverride>
  </w:num>
  <w:num w:numId="17">
    <w:abstractNumId w:val="32"/>
  </w:num>
  <w:num w:numId="18">
    <w:abstractNumId w:val="30"/>
  </w:num>
  <w:num w:numId="19">
    <w:abstractNumId w:val="22"/>
  </w:num>
  <w:num w:numId="20">
    <w:abstractNumId w:val="16"/>
  </w:num>
  <w:num w:numId="21">
    <w:abstractNumId w:val="33"/>
  </w:num>
  <w:num w:numId="22">
    <w:abstractNumId w:val="28"/>
  </w:num>
  <w:num w:numId="23">
    <w:abstractNumId w:val="21"/>
  </w:num>
  <w:num w:numId="24">
    <w:abstractNumId w:val="8"/>
  </w:num>
  <w:num w:numId="25">
    <w:abstractNumId w:val="18"/>
  </w:num>
  <w:num w:numId="26">
    <w:abstractNumId w:val="9"/>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10"/>
  </w:num>
  <w:num w:numId="29">
    <w:abstractNumId w:val="12"/>
  </w:num>
  <w:num w:numId="30">
    <w:abstractNumId w:val="2"/>
  </w:num>
  <w:num w:numId="31">
    <w:abstractNumId w:val="29"/>
  </w:num>
  <w:num w:numId="32">
    <w:abstractNumId w:val="13"/>
  </w:num>
  <w:num w:numId="33">
    <w:abstractNumId w:val="24"/>
  </w:num>
  <w:num w:numId="34">
    <w:abstractNumId w:val="35"/>
  </w:num>
  <w:num w:numId="35">
    <w:abstractNumId w:val="15"/>
  </w:num>
  <w:num w:numId="36">
    <w:abstractNumId w:val="25"/>
  </w:num>
  <w:num w:numId="37">
    <w:abstractNumId w:val="23"/>
  </w:num>
  <w:num w:numId="38">
    <w:abstractNumId w:val="26"/>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16E55"/>
    <w:rsid w:val="00044CA2"/>
    <w:rsid w:val="002574A9"/>
    <w:rsid w:val="00416E55"/>
    <w:rsid w:val="004D6BD0"/>
    <w:rsid w:val="0061109D"/>
    <w:rsid w:val="007771AA"/>
    <w:rsid w:val="007C4DB5"/>
    <w:rsid w:val="009106F5"/>
    <w:rsid w:val="00A85F1C"/>
    <w:rsid w:val="00C22A05"/>
    <w:rsid w:val="00E14670"/>
    <w:rsid w:val="00F051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55"/>
    <w:pPr>
      <w:spacing w:line="240" w:lineRule="atLeast"/>
    </w:pPr>
    <w:rPr>
      <w:rFonts w:ascii="Georgia" w:hAnsi="Georgia"/>
      <w:szCs w:val="22"/>
      <w:lang w:eastAsia="en-US"/>
    </w:rPr>
  </w:style>
  <w:style w:type="paragraph" w:styleId="Heading1">
    <w:name w:val="heading 1"/>
    <w:basedOn w:val="Normal"/>
    <w:next w:val="Normal"/>
    <w:link w:val="Heading1Char"/>
    <w:qFormat/>
    <w:rsid w:val="00416E55"/>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416E5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E5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16E55"/>
  </w:style>
  <w:style w:type="paragraph" w:styleId="Footer">
    <w:name w:val="footer"/>
    <w:basedOn w:val="Normal"/>
    <w:link w:val="FooterChar"/>
    <w:uiPriority w:val="99"/>
    <w:semiHidden/>
    <w:unhideWhenUsed/>
    <w:rsid w:val="00416E5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16E55"/>
  </w:style>
  <w:style w:type="paragraph" w:styleId="BodyText">
    <w:name w:val="Body Text"/>
    <w:basedOn w:val="Normal"/>
    <w:link w:val="BodyTextChar"/>
    <w:uiPriority w:val="99"/>
    <w:unhideWhenUsed/>
    <w:rsid w:val="00416E55"/>
    <w:pPr>
      <w:spacing w:after="240"/>
    </w:pPr>
  </w:style>
  <w:style w:type="character" w:customStyle="1" w:styleId="BodyTextChar">
    <w:name w:val="Body Text Char"/>
    <w:basedOn w:val="DefaultParagraphFont"/>
    <w:link w:val="BodyText"/>
    <w:uiPriority w:val="99"/>
    <w:rsid w:val="00416E55"/>
    <w:rPr>
      <w:rFonts w:ascii="Georgia" w:hAnsi="Georgia"/>
      <w:sz w:val="20"/>
    </w:rPr>
  </w:style>
  <w:style w:type="paragraph" w:styleId="Title">
    <w:name w:val="Title"/>
    <w:basedOn w:val="Normal"/>
    <w:next w:val="Normal"/>
    <w:link w:val="TitleChar"/>
    <w:uiPriority w:val="10"/>
    <w:qFormat/>
    <w:rsid w:val="00416E55"/>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416E55"/>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416E55"/>
    <w:pPr>
      <w:spacing w:line="200" w:lineRule="atLeast"/>
    </w:pPr>
    <w:rPr>
      <w:i/>
      <w:sz w:val="18"/>
    </w:rPr>
  </w:style>
  <w:style w:type="character" w:customStyle="1" w:styleId="AddressChar">
    <w:name w:val="Address Char"/>
    <w:basedOn w:val="DefaultParagraphFont"/>
    <w:link w:val="Address"/>
    <w:rsid w:val="00416E55"/>
    <w:rPr>
      <w:rFonts w:ascii="Georgia" w:hAnsi="Georgia"/>
      <w:i/>
      <w:sz w:val="18"/>
    </w:rPr>
  </w:style>
  <w:style w:type="paragraph" w:customStyle="1" w:styleId="Disclaimer">
    <w:name w:val="Disclaimer"/>
    <w:basedOn w:val="Normal"/>
    <w:link w:val="DisclaimerChar"/>
    <w:rsid w:val="00416E55"/>
    <w:pPr>
      <w:spacing w:line="140" w:lineRule="atLeast"/>
    </w:pPr>
    <w:rPr>
      <w:rFonts w:ascii="Arial" w:hAnsi="Arial" w:cs="Arial"/>
      <w:sz w:val="12"/>
    </w:rPr>
  </w:style>
  <w:style w:type="character" w:customStyle="1" w:styleId="DisclaimerChar">
    <w:name w:val="Disclaimer Char"/>
    <w:basedOn w:val="DefaultParagraphFont"/>
    <w:link w:val="Disclaimer"/>
    <w:rsid w:val="00416E55"/>
    <w:rPr>
      <w:rFonts w:ascii="Arial" w:hAnsi="Arial" w:cs="Arial"/>
      <w:sz w:val="12"/>
    </w:rPr>
  </w:style>
  <w:style w:type="character" w:customStyle="1" w:styleId="Heading1Char">
    <w:name w:val="Heading 1 Char"/>
    <w:basedOn w:val="DefaultParagraphFont"/>
    <w:link w:val="Heading1"/>
    <w:rsid w:val="00416E55"/>
    <w:rPr>
      <w:rFonts w:ascii="Cambria" w:eastAsia="Times New Roman" w:hAnsi="Cambria" w:cs="Times New Roman"/>
      <w:b/>
      <w:bCs/>
      <w:kern w:val="32"/>
      <w:sz w:val="32"/>
      <w:szCs w:val="32"/>
    </w:rPr>
  </w:style>
  <w:style w:type="paragraph" w:customStyle="1" w:styleId="ReleaseBodyText">
    <w:name w:val="Release Body Text"/>
    <w:rsid w:val="00416E55"/>
    <w:rPr>
      <w:rFonts w:ascii="Arial" w:eastAsia="Times New Roman" w:hAnsi="Arial" w:cs="Arial"/>
      <w:lang w:eastAsia="en-US"/>
    </w:rPr>
  </w:style>
  <w:style w:type="paragraph" w:customStyle="1" w:styleId="Heading">
    <w:name w:val="Heading"/>
    <w:basedOn w:val="Normal"/>
    <w:rsid w:val="00416E55"/>
    <w:pPr>
      <w:spacing w:line="240" w:lineRule="auto"/>
    </w:pPr>
    <w:rPr>
      <w:rFonts w:ascii="Arial" w:eastAsia="Times New Roman" w:hAnsi="Arial"/>
      <w:b/>
      <w:sz w:val="24"/>
      <w:szCs w:val="20"/>
    </w:rPr>
  </w:style>
  <w:style w:type="paragraph" w:styleId="ListParagraph">
    <w:name w:val="List Paragraph"/>
    <w:basedOn w:val="Normal"/>
    <w:uiPriority w:val="99"/>
    <w:unhideWhenUsed/>
    <w:qFormat/>
    <w:rsid w:val="00416E55"/>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416E55"/>
  </w:style>
  <w:style w:type="paragraph" w:customStyle="1" w:styleId="ListNumbered">
    <w:name w:val="List Numbered"/>
    <w:basedOn w:val="Normal"/>
    <w:rsid w:val="00416E55"/>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rsid w:val="00416E55"/>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416E55"/>
    <w:rPr>
      <w:strike w:val="0"/>
      <w:dstrike w:val="0"/>
      <w:color w:val="0097DC"/>
      <w:u w:val="none"/>
      <w:effect w:val="none"/>
    </w:rPr>
  </w:style>
  <w:style w:type="character" w:styleId="Strong">
    <w:name w:val="Strong"/>
    <w:basedOn w:val="DefaultParagraphFont"/>
    <w:uiPriority w:val="22"/>
    <w:qFormat/>
    <w:rsid w:val="00416E55"/>
    <w:rPr>
      <w:b/>
      <w:bCs/>
    </w:rPr>
  </w:style>
  <w:style w:type="character" w:customStyle="1" w:styleId="date-display-single">
    <w:name w:val="date-display-single"/>
    <w:basedOn w:val="DefaultParagraphFont"/>
    <w:rsid w:val="00416E55"/>
  </w:style>
  <w:style w:type="character" w:customStyle="1" w:styleId="date-display-start">
    <w:name w:val="date-display-start"/>
    <w:basedOn w:val="DefaultParagraphFont"/>
    <w:rsid w:val="00416E55"/>
  </w:style>
  <w:style w:type="character" w:customStyle="1" w:styleId="date-display-end">
    <w:name w:val="date-display-end"/>
    <w:basedOn w:val="DefaultParagraphFont"/>
    <w:rsid w:val="00416E55"/>
  </w:style>
  <w:style w:type="character" w:customStyle="1" w:styleId="date-display-separator">
    <w:name w:val="date-display-separator"/>
    <w:basedOn w:val="DefaultParagraphFont"/>
    <w:rsid w:val="00416E55"/>
  </w:style>
  <w:style w:type="character" w:customStyle="1" w:styleId="field-content2">
    <w:name w:val="field-content2"/>
    <w:basedOn w:val="DefaultParagraphFont"/>
    <w:rsid w:val="00416E55"/>
  </w:style>
  <w:style w:type="character" w:styleId="CommentReference">
    <w:name w:val="annotation reference"/>
    <w:basedOn w:val="DefaultParagraphFont"/>
    <w:semiHidden/>
    <w:unhideWhenUsed/>
    <w:rsid w:val="00416E55"/>
    <w:rPr>
      <w:sz w:val="16"/>
      <w:szCs w:val="16"/>
    </w:rPr>
  </w:style>
  <w:style w:type="paragraph" w:styleId="CommentText">
    <w:name w:val="annotation text"/>
    <w:basedOn w:val="Normal"/>
    <w:link w:val="CommentTextChar"/>
    <w:semiHidden/>
    <w:unhideWhenUsed/>
    <w:rsid w:val="00416E55"/>
    <w:rPr>
      <w:szCs w:val="20"/>
    </w:rPr>
  </w:style>
  <w:style w:type="character" w:customStyle="1" w:styleId="CommentTextChar">
    <w:name w:val="Comment Text Char"/>
    <w:basedOn w:val="DefaultParagraphFont"/>
    <w:link w:val="CommentText"/>
    <w:semiHidden/>
    <w:rsid w:val="00416E55"/>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16E55"/>
    <w:rPr>
      <w:b/>
      <w:bCs/>
    </w:rPr>
  </w:style>
  <w:style w:type="character" w:customStyle="1" w:styleId="CommentSubjectChar">
    <w:name w:val="Comment Subject Char"/>
    <w:basedOn w:val="CommentTextChar"/>
    <w:link w:val="CommentSubject"/>
    <w:uiPriority w:val="99"/>
    <w:semiHidden/>
    <w:rsid w:val="00416E55"/>
    <w:rPr>
      <w:b/>
      <w:bCs/>
    </w:rPr>
  </w:style>
  <w:style w:type="paragraph" w:styleId="BalloonText">
    <w:name w:val="Balloon Text"/>
    <w:basedOn w:val="Normal"/>
    <w:link w:val="BalloonTextChar"/>
    <w:uiPriority w:val="99"/>
    <w:semiHidden/>
    <w:unhideWhenUsed/>
    <w:rsid w:val="00416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55"/>
    <w:rPr>
      <w:rFonts w:ascii="Tahoma" w:hAnsi="Tahoma" w:cs="Tahoma"/>
      <w:sz w:val="16"/>
      <w:szCs w:val="16"/>
      <w:lang w:eastAsia="en-US"/>
    </w:rPr>
  </w:style>
  <w:style w:type="character" w:customStyle="1" w:styleId="at5">
    <w:name w:val="a__t5"/>
    <w:basedOn w:val="DefaultParagraphFont"/>
    <w:rsid w:val="00416E55"/>
  </w:style>
  <w:style w:type="paragraph" w:customStyle="1" w:styleId="PIText">
    <w:name w:val="PI Text"/>
    <w:basedOn w:val="BodyTextIndent"/>
    <w:link w:val="PITextZchn"/>
    <w:rsid w:val="00416E55"/>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416E55"/>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416E55"/>
    <w:pPr>
      <w:spacing w:after="120"/>
      <w:ind w:left="283"/>
    </w:pPr>
  </w:style>
  <w:style w:type="character" w:customStyle="1" w:styleId="BodyTextIndentChar">
    <w:name w:val="Body Text Indent Char"/>
    <w:basedOn w:val="DefaultParagraphFont"/>
    <w:link w:val="BodyTextIndent"/>
    <w:uiPriority w:val="99"/>
    <w:semiHidden/>
    <w:rsid w:val="00416E55"/>
    <w:rPr>
      <w:rFonts w:ascii="Georgia" w:hAnsi="Georgia"/>
      <w:szCs w:val="22"/>
      <w:lang w:eastAsia="en-US"/>
    </w:rPr>
  </w:style>
  <w:style w:type="paragraph" w:styleId="Quote">
    <w:name w:val="Quote"/>
    <w:basedOn w:val="ReleaseBodyText"/>
    <w:link w:val="QuoteChar"/>
    <w:qFormat/>
    <w:rsid w:val="00416E55"/>
    <w:pPr>
      <w:ind w:left="540"/>
    </w:pPr>
  </w:style>
  <w:style w:type="character" w:customStyle="1" w:styleId="QuoteChar">
    <w:name w:val="Quote Char"/>
    <w:basedOn w:val="DefaultParagraphFont"/>
    <w:link w:val="Quote"/>
    <w:rsid w:val="00416E55"/>
    <w:rPr>
      <w:rFonts w:ascii="Arial" w:eastAsia="Times New Roman" w:hAnsi="Arial" w:cs="Arial"/>
      <w:lang w:eastAsia="en-US"/>
    </w:rPr>
  </w:style>
  <w:style w:type="paragraph" w:customStyle="1" w:styleId="Listsub-heading">
    <w:name w:val="List sub-heading"/>
    <w:basedOn w:val="Normal"/>
    <w:rsid w:val="00416E55"/>
    <w:pPr>
      <w:spacing w:line="240" w:lineRule="auto"/>
    </w:pPr>
    <w:rPr>
      <w:rFonts w:ascii="Arial" w:eastAsia="Times New Roman" w:hAnsi="Arial" w:cs="Arial"/>
      <w:b/>
      <w:i/>
      <w:szCs w:val="20"/>
    </w:rPr>
  </w:style>
  <w:style w:type="paragraph" w:customStyle="1" w:styleId="Listbullet">
    <w:name w:val="List bullet"/>
    <w:basedOn w:val="Normal"/>
    <w:rsid w:val="00416E55"/>
    <w:pPr>
      <w:numPr>
        <w:numId w:val="19"/>
      </w:numPr>
      <w:spacing w:line="240" w:lineRule="auto"/>
    </w:pPr>
    <w:rPr>
      <w:rFonts w:ascii="Arial" w:eastAsia="Times New Roman" w:hAnsi="Arial" w:cs="Arial"/>
      <w:szCs w:val="20"/>
    </w:rPr>
  </w:style>
  <w:style w:type="paragraph" w:styleId="NormalWeb">
    <w:name w:val="Normal (Web)"/>
    <w:basedOn w:val="Normal"/>
    <w:uiPriority w:val="99"/>
    <w:semiHidden/>
    <w:unhideWhenUsed/>
    <w:rsid w:val="00416E5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16E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6E55"/>
    <w:pPr>
      <w:autoSpaceDE w:val="0"/>
      <w:autoSpaceDN w:val="0"/>
      <w:adjustRightInd w:val="0"/>
    </w:pPr>
    <w:rPr>
      <w:rFonts w:ascii="ITC Charter Com" w:hAnsi="ITC Charter Com" w:cs="ITC Charter Com"/>
      <w:color w:val="000000"/>
      <w:sz w:val="24"/>
      <w:szCs w:val="24"/>
    </w:rPr>
  </w:style>
  <w:style w:type="paragraph" w:customStyle="1" w:styleId="Pa2">
    <w:name w:val="Pa2"/>
    <w:basedOn w:val="Default"/>
    <w:next w:val="Default"/>
    <w:uiPriority w:val="99"/>
    <w:rsid w:val="00416E55"/>
    <w:pPr>
      <w:spacing w:line="191" w:lineRule="atLeast"/>
    </w:pPr>
    <w:rPr>
      <w:rFonts w:cs="Times New Roman"/>
      <w:color w:val="auto"/>
    </w:rPr>
  </w:style>
  <w:style w:type="paragraph" w:styleId="BodyText2">
    <w:name w:val="Body Text 2"/>
    <w:basedOn w:val="Normal"/>
    <w:link w:val="BodyText2Char"/>
    <w:rsid w:val="00C22A05"/>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C22A05"/>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977752">
      <w:bodyDiv w:val="1"/>
      <w:marLeft w:val="0"/>
      <w:marRight w:val="0"/>
      <w:marTop w:val="0"/>
      <w:marBottom w:val="0"/>
      <w:divBdr>
        <w:top w:val="none" w:sz="0" w:space="0" w:color="auto"/>
        <w:left w:val="none" w:sz="0" w:space="0" w:color="auto"/>
        <w:bottom w:val="none" w:sz="0" w:space="0" w:color="auto"/>
        <w:right w:val="none" w:sz="0" w:space="0" w:color="auto"/>
      </w:divBdr>
    </w:div>
    <w:div w:id="491676989">
      <w:bodyDiv w:val="1"/>
      <w:marLeft w:val="0"/>
      <w:marRight w:val="0"/>
      <w:marTop w:val="0"/>
      <w:marBottom w:val="0"/>
      <w:divBdr>
        <w:top w:val="none" w:sz="0" w:space="0" w:color="auto"/>
        <w:left w:val="none" w:sz="0" w:space="0" w:color="auto"/>
        <w:bottom w:val="none" w:sz="0" w:space="0" w:color="auto"/>
        <w:right w:val="none" w:sz="0" w:space="0" w:color="auto"/>
      </w:divBdr>
    </w:div>
    <w:div w:id="680008817">
      <w:bodyDiv w:val="1"/>
      <w:marLeft w:val="0"/>
      <w:marRight w:val="0"/>
      <w:marTop w:val="0"/>
      <w:marBottom w:val="0"/>
      <w:divBdr>
        <w:top w:val="none" w:sz="0" w:space="0" w:color="auto"/>
        <w:left w:val="none" w:sz="0" w:space="0" w:color="auto"/>
        <w:bottom w:val="none" w:sz="0" w:space="0" w:color="auto"/>
        <w:right w:val="none" w:sz="0" w:space="0" w:color="auto"/>
      </w:divBdr>
    </w:div>
    <w:div w:id="909654946">
      <w:bodyDiv w:val="1"/>
      <w:marLeft w:val="0"/>
      <w:marRight w:val="0"/>
      <w:marTop w:val="0"/>
      <w:marBottom w:val="0"/>
      <w:divBdr>
        <w:top w:val="none" w:sz="0" w:space="0" w:color="auto"/>
        <w:left w:val="none" w:sz="0" w:space="0" w:color="auto"/>
        <w:bottom w:val="none" w:sz="0" w:space="0" w:color="auto"/>
        <w:right w:val="none" w:sz="0" w:space="0" w:color="auto"/>
      </w:divBdr>
      <w:divsChild>
        <w:div w:id="1762026104">
          <w:marLeft w:val="0"/>
          <w:marRight w:val="0"/>
          <w:marTop w:val="0"/>
          <w:marBottom w:val="0"/>
          <w:divBdr>
            <w:top w:val="none" w:sz="0" w:space="0" w:color="auto"/>
            <w:left w:val="none" w:sz="0" w:space="0" w:color="auto"/>
            <w:bottom w:val="none" w:sz="0" w:space="0" w:color="auto"/>
            <w:right w:val="none" w:sz="0" w:space="0" w:color="auto"/>
          </w:divBdr>
          <w:divsChild>
            <w:div w:id="1745764616">
              <w:marLeft w:val="0"/>
              <w:marRight w:val="0"/>
              <w:marTop w:val="0"/>
              <w:marBottom w:val="0"/>
              <w:divBdr>
                <w:top w:val="none" w:sz="0" w:space="0" w:color="auto"/>
                <w:left w:val="none" w:sz="0" w:space="0" w:color="auto"/>
                <w:bottom w:val="none" w:sz="0" w:space="0" w:color="auto"/>
                <w:right w:val="none" w:sz="0" w:space="0" w:color="auto"/>
              </w:divBdr>
              <w:divsChild>
                <w:div w:id="1700161372">
                  <w:marLeft w:val="0"/>
                  <w:marRight w:val="0"/>
                  <w:marTop w:val="0"/>
                  <w:marBottom w:val="0"/>
                  <w:divBdr>
                    <w:top w:val="none" w:sz="0" w:space="0" w:color="auto"/>
                    <w:left w:val="none" w:sz="0" w:space="0" w:color="auto"/>
                    <w:bottom w:val="none" w:sz="0" w:space="0" w:color="auto"/>
                    <w:right w:val="none" w:sz="0" w:space="0" w:color="auto"/>
                  </w:divBdr>
                  <w:divsChild>
                    <w:div w:id="1997830722">
                      <w:marLeft w:val="0"/>
                      <w:marRight w:val="0"/>
                      <w:marTop w:val="0"/>
                      <w:marBottom w:val="0"/>
                      <w:divBdr>
                        <w:top w:val="none" w:sz="0" w:space="0" w:color="auto"/>
                        <w:left w:val="none" w:sz="0" w:space="0" w:color="auto"/>
                        <w:bottom w:val="none" w:sz="0" w:space="0" w:color="auto"/>
                        <w:right w:val="none" w:sz="0" w:space="0" w:color="auto"/>
                      </w:divBdr>
                      <w:divsChild>
                        <w:div w:id="879246667">
                          <w:marLeft w:val="0"/>
                          <w:marRight w:val="0"/>
                          <w:marTop w:val="0"/>
                          <w:marBottom w:val="0"/>
                          <w:divBdr>
                            <w:top w:val="none" w:sz="0" w:space="0" w:color="auto"/>
                            <w:left w:val="none" w:sz="0" w:space="0" w:color="auto"/>
                            <w:bottom w:val="none" w:sz="0" w:space="0" w:color="auto"/>
                            <w:right w:val="none" w:sz="0" w:space="0" w:color="auto"/>
                          </w:divBdr>
                          <w:divsChild>
                            <w:div w:id="1054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75259">
      <w:bodyDiv w:val="1"/>
      <w:marLeft w:val="0"/>
      <w:marRight w:val="0"/>
      <w:marTop w:val="0"/>
      <w:marBottom w:val="0"/>
      <w:divBdr>
        <w:top w:val="none" w:sz="0" w:space="0" w:color="auto"/>
        <w:left w:val="none" w:sz="0" w:space="0" w:color="auto"/>
        <w:bottom w:val="none" w:sz="0" w:space="0" w:color="auto"/>
        <w:right w:val="none" w:sz="0" w:space="0" w:color="auto"/>
      </w:divBdr>
    </w:div>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632886">
      <w:bodyDiv w:val="1"/>
      <w:marLeft w:val="0"/>
      <w:marRight w:val="0"/>
      <w:marTop w:val="0"/>
      <w:marBottom w:val="0"/>
      <w:divBdr>
        <w:top w:val="none" w:sz="0" w:space="0" w:color="auto"/>
        <w:left w:val="none" w:sz="0" w:space="0" w:color="auto"/>
        <w:bottom w:val="none" w:sz="0" w:space="0" w:color="auto"/>
        <w:right w:val="none" w:sz="0" w:space="0" w:color="auto"/>
      </w:divBdr>
    </w:div>
    <w:div w:id="1587419738">
      <w:bodyDiv w:val="1"/>
      <w:marLeft w:val="0"/>
      <w:marRight w:val="0"/>
      <w:marTop w:val="0"/>
      <w:marBottom w:val="0"/>
      <w:divBdr>
        <w:top w:val="none" w:sz="0" w:space="0" w:color="auto"/>
        <w:left w:val="none" w:sz="0" w:space="0" w:color="auto"/>
        <w:bottom w:val="none" w:sz="0" w:space="0" w:color="auto"/>
        <w:right w:val="none" w:sz="0" w:space="0" w:color="auto"/>
      </w:divBdr>
    </w:div>
    <w:div w:id="1618636415">
      <w:bodyDiv w:val="1"/>
      <w:marLeft w:val="0"/>
      <w:marRight w:val="0"/>
      <w:marTop w:val="0"/>
      <w:marBottom w:val="0"/>
      <w:divBdr>
        <w:top w:val="none" w:sz="0" w:space="0" w:color="auto"/>
        <w:left w:val="none" w:sz="0" w:space="0" w:color="auto"/>
        <w:bottom w:val="none" w:sz="0" w:space="0" w:color="auto"/>
        <w:right w:val="none" w:sz="0" w:space="0" w:color="auto"/>
      </w:divBdr>
    </w:div>
    <w:div w:id="1844081770">
      <w:bodyDiv w:val="1"/>
      <w:marLeft w:val="0"/>
      <w:marRight w:val="0"/>
      <w:marTop w:val="0"/>
      <w:marBottom w:val="0"/>
      <w:divBdr>
        <w:top w:val="none" w:sz="0" w:space="0" w:color="auto"/>
        <w:left w:val="none" w:sz="0" w:space="0" w:color="auto"/>
        <w:bottom w:val="none" w:sz="0" w:space="0" w:color="auto"/>
        <w:right w:val="none" w:sz="0" w:space="0" w:color="auto"/>
      </w:divBdr>
    </w:div>
    <w:div w:id="1864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l.mccallum@us.pwc.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com/us/en/transaction-services" TargetMode="External"/><Relationship Id="rId4" Type="http://schemas.openxmlformats.org/officeDocument/2006/relationships/settings" Target="settings.xml"/><Relationship Id="rId9" Type="http://schemas.openxmlformats.org/officeDocument/2006/relationships/hyperlink" Target="http://www.autofact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EF93-6324-4455-AADC-9C14470E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8</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8829</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Hollingdale</dc:creator>
  <cp:keywords/>
  <cp:lastModifiedBy>svanpelt001</cp:lastModifiedBy>
  <cp:revision>4</cp:revision>
  <cp:lastPrinted>2012-09-21T19:46:00Z</cp:lastPrinted>
  <dcterms:created xsi:type="dcterms:W3CDTF">2012-09-21T15:33:00Z</dcterms:created>
  <dcterms:modified xsi:type="dcterms:W3CDTF">2012-09-21T19:48:00Z</dcterms:modified>
</cp:coreProperties>
</file>