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5D" w:rsidRPr="00466B2E" w:rsidRDefault="005D135D">
      <w:r w:rsidRPr="00466B2E">
        <w:rPr>
          <w:noProof/>
          <w:lang w:eastAsia="en-GB"/>
        </w:rPr>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w:r>
    </w:p>
    <w:p w:rsidR="005D135D" w:rsidRPr="00466B2E" w:rsidRDefault="00C22FEA">
      <w:pPr>
        <w:pStyle w:val="Title"/>
        <w:spacing w:after="0"/>
        <w:rPr>
          <w:rFonts w:ascii="Georgia" w:hAnsi="Georgia"/>
          <w:color w:val="auto"/>
        </w:rPr>
      </w:pPr>
      <w:r w:rsidRPr="00466B2E">
        <w:rPr>
          <w:rFonts w:ascii="Georgia" w:hAnsi="Georgia"/>
          <w:color w:val="auto"/>
        </w:rPr>
        <w:t xml:space="preserve">Global News release </w:t>
      </w:r>
    </w:p>
    <w:p w:rsidR="005D135D" w:rsidRPr="00466B2E" w:rsidRDefault="005D135D"/>
    <w:tbl>
      <w:tblPr>
        <w:tblW w:w="0" w:type="auto"/>
        <w:tblLayout w:type="fixed"/>
        <w:tblLook w:val="0000"/>
      </w:tblPr>
      <w:tblGrid>
        <w:gridCol w:w="2268"/>
        <w:gridCol w:w="5940"/>
      </w:tblGrid>
      <w:tr w:rsidR="005D135D" w:rsidRPr="00466B2E" w:rsidTr="00466B2E">
        <w:tc>
          <w:tcPr>
            <w:tcW w:w="2268" w:type="dxa"/>
            <w:shd w:val="clear" w:color="auto" w:fill="auto"/>
          </w:tcPr>
          <w:p w:rsidR="005D135D" w:rsidRPr="00466B2E" w:rsidRDefault="00C22FEA">
            <w:pPr>
              <w:spacing w:line="240" w:lineRule="auto"/>
              <w:rPr>
                <w:i/>
              </w:rPr>
            </w:pPr>
            <w:r w:rsidRPr="00466B2E">
              <w:rPr>
                <w:i/>
              </w:rPr>
              <w:t>Date</w:t>
            </w:r>
          </w:p>
        </w:tc>
        <w:tc>
          <w:tcPr>
            <w:tcW w:w="5940" w:type="dxa"/>
            <w:shd w:val="clear" w:color="auto" w:fill="auto"/>
          </w:tcPr>
          <w:p w:rsidR="005D135D" w:rsidRDefault="00C22FEA">
            <w:pPr>
              <w:spacing w:line="240" w:lineRule="auto"/>
            </w:pPr>
            <w:r w:rsidRPr="00466B2E">
              <w:t>EMBARGOED: Wednesday 19</w:t>
            </w:r>
            <w:r w:rsidRPr="00466B2E">
              <w:rPr>
                <w:vertAlign w:val="superscript"/>
              </w:rPr>
              <w:t>th</w:t>
            </w:r>
            <w:r w:rsidRPr="00466B2E">
              <w:t xml:space="preserve"> September, 00:01 (BST)</w:t>
            </w:r>
          </w:p>
          <w:p w:rsidR="00466B2E" w:rsidRPr="00466B2E" w:rsidRDefault="00466B2E">
            <w:pPr>
              <w:spacing w:line="240" w:lineRule="auto"/>
            </w:pPr>
          </w:p>
        </w:tc>
      </w:tr>
      <w:tr w:rsidR="005D135D" w:rsidRPr="00466B2E" w:rsidTr="00466B2E">
        <w:tc>
          <w:tcPr>
            <w:tcW w:w="2268" w:type="dxa"/>
            <w:shd w:val="clear" w:color="auto" w:fill="auto"/>
          </w:tcPr>
          <w:p w:rsidR="005D135D" w:rsidRPr="00466B2E" w:rsidRDefault="00C22FEA">
            <w:pPr>
              <w:spacing w:line="240" w:lineRule="auto"/>
              <w:rPr>
                <w:i/>
              </w:rPr>
            </w:pPr>
            <w:r w:rsidRPr="00466B2E">
              <w:rPr>
                <w:i/>
              </w:rPr>
              <w:t>Contact</w:t>
            </w:r>
          </w:p>
        </w:tc>
        <w:tc>
          <w:tcPr>
            <w:tcW w:w="5940" w:type="dxa"/>
            <w:shd w:val="clear" w:color="auto" w:fill="auto"/>
          </w:tcPr>
          <w:p w:rsidR="005D135D" w:rsidRPr="00466B2E" w:rsidRDefault="00466B2E">
            <w:pPr>
              <w:spacing w:line="240" w:lineRule="auto"/>
              <w:rPr>
                <w:lang w:val="it-IT"/>
              </w:rPr>
            </w:pPr>
            <w:r>
              <w:rPr>
                <w:rFonts w:cs="Arial"/>
                <w:lang w:val="it-IT"/>
              </w:rPr>
              <w:t>Katherine Howbrook</w:t>
            </w:r>
          </w:p>
          <w:p w:rsidR="00466B2E" w:rsidRDefault="00466B2E" w:rsidP="00466B2E">
            <w:pPr>
              <w:autoSpaceDE w:val="0"/>
              <w:autoSpaceDN w:val="0"/>
              <w:adjustRightInd w:val="0"/>
              <w:spacing w:line="240" w:lineRule="auto"/>
              <w:rPr>
                <w:rFonts w:cs="Arial"/>
                <w:color w:val="000000"/>
                <w:szCs w:val="20"/>
                <w:lang w:eastAsia="zh-CN"/>
              </w:rPr>
            </w:pPr>
            <w:r>
              <w:rPr>
                <w:rFonts w:cs="Arial"/>
                <w:color w:val="000000"/>
                <w:szCs w:val="20"/>
                <w:lang w:eastAsia="zh-CN"/>
              </w:rPr>
              <w:t>Tel</w:t>
            </w:r>
            <w:r w:rsidRPr="00466B2E">
              <w:rPr>
                <w:rFonts w:cs="Arial"/>
                <w:color w:val="000000"/>
                <w:szCs w:val="20"/>
                <w:lang w:eastAsia="zh-CN"/>
              </w:rPr>
              <w:t xml:space="preserve">: +44 (0) 20 7212 2711 </w:t>
            </w:r>
          </w:p>
          <w:p w:rsidR="005D135D" w:rsidRDefault="00466B2E" w:rsidP="00466B2E">
            <w:pPr>
              <w:autoSpaceDE w:val="0"/>
              <w:autoSpaceDN w:val="0"/>
              <w:adjustRightInd w:val="0"/>
              <w:spacing w:line="240" w:lineRule="auto"/>
              <w:rPr>
                <w:rFonts w:cs="Arial"/>
                <w:color w:val="000000"/>
                <w:szCs w:val="20"/>
                <w:lang w:eastAsia="zh-CN"/>
              </w:rPr>
            </w:pPr>
            <w:r w:rsidRPr="00466B2E">
              <w:rPr>
                <w:rFonts w:cs="Arial"/>
                <w:color w:val="000000"/>
                <w:szCs w:val="20"/>
                <w:lang w:eastAsia="zh-CN"/>
              </w:rPr>
              <w:t xml:space="preserve">Email: </w:t>
            </w:r>
            <w:hyperlink r:id="rId8" w:history="1">
              <w:r w:rsidRPr="00E97202">
                <w:rPr>
                  <w:rStyle w:val="Hyperlink"/>
                  <w:rFonts w:cs="Arial"/>
                  <w:szCs w:val="20"/>
                  <w:lang w:eastAsia="zh-CN"/>
                </w:rPr>
                <w:t>katherine.j.howbrook@uk.pwc.com</w:t>
              </w:r>
            </w:hyperlink>
          </w:p>
          <w:p w:rsidR="00466B2E" w:rsidRPr="00466B2E" w:rsidRDefault="00466B2E" w:rsidP="00466B2E">
            <w:pPr>
              <w:autoSpaceDE w:val="0"/>
              <w:autoSpaceDN w:val="0"/>
              <w:adjustRightInd w:val="0"/>
              <w:spacing w:line="240" w:lineRule="auto"/>
              <w:rPr>
                <w:lang w:val="it-IT" w:eastAsia="zh-CN"/>
              </w:rPr>
            </w:pPr>
          </w:p>
        </w:tc>
      </w:tr>
      <w:tr w:rsidR="005D135D" w:rsidRPr="00466B2E" w:rsidTr="00466B2E">
        <w:tc>
          <w:tcPr>
            <w:tcW w:w="2268" w:type="dxa"/>
            <w:shd w:val="clear" w:color="auto" w:fill="auto"/>
          </w:tcPr>
          <w:p w:rsidR="005D135D" w:rsidRPr="00466B2E" w:rsidRDefault="00C22FEA">
            <w:pPr>
              <w:spacing w:line="240" w:lineRule="auto"/>
              <w:rPr>
                <w:i/>
              </w:rPr>
            </w:pPr>
            <w:r w:rsidRPr="00466B2E">
              <w:rPr>
                <w:i/>
              </w:rPr>
              <w:t xml:space="preserve">Pages </w:t>
            </w:r>
          </w:p>
        </w:tc>
        <w:tc>
          <w:tcPr>
            <w:tcW w:w="5940" w:type="dxa"/>
            <w:shd w:val="clear" w:color="auto" w:fill="auto"/>
          </w:tcPr>
          <w:p w:rsidR="005D135D" w:rsidRPr="00466B2E" w:rsidRDefault="00C22FEA">
            <w:pPr>
              <w:spacing w:line="240" w:lineRule="auto"/>
              <w:rPr>
                <w:lang w:eastAsia="zh-CN"/>
              </w:rPr>
            </w:pPr>
            <w:r w:rsidRPr="00466B2E">
              <w:rPr>
                <w:lang w:eastAsia="zh-CN"/>
              </w:rPr>
              <w:t>3</w:t>
            </w:r>
          </w:p>
          <w:p w:rsidR="005D135D" w:rsidRPr="00466B2E" w:rsidRDefault="005D135D">
            <w:pPr>
              <w:spacing w:line="240" w:lineRule="auto"/>
            </w:pPr>
          </w:p>
        </w:tc>
      </w:tr>
    </w:tbl>
    <w:p w:rsidR="005D135D" w:rsidRPr="00466B2E" w:rsidRDefault="005D135D">
      <w:pPr>
        <w:pStyle w:val="Title"/>
        <w:rPr>
          <w:rFonts w:ascii="Georgia" w:eastAsia="SimSun" w:hAnsi="Georgia" w:cs="Arial"/>
          <w:bCs/>
          <w:i w:val="0"/>
          <w:color w:val="auto"/>
          <w:spacing w:val="0"/>
          <w:kern w:val="0"/>
          <w:sz w:val="22"/>
          <w:szCs w:val="22"/>
          <w:lang w:val="en-US"/>
        </w:rPr>
      </w:pPr>
    </w:p>
    <w:p w:rsidR="005D135D" w:rsidRPr="00466B2E" w:rsidRDefault="00C22FEA">
      <w:pPr>
        <w:autoSpaceDE w:val="0"/>
        <w:autoSpaceDN w:val="0"/>
        <w:adjustRightInd w:val="0"/>
        <w:rPr>
          <w:rFonts w:cs="Arial"/>
          <w:b/>
          <w:szCs w:val="20"/>
          <w:lang w:eastAsia="en-GB"/>
        </w:rPr>
      </w:pPr>
      <w:r w:rsidRPr="00466B2E">
        <w:rPr>
          <w:rFonts w:cs="Arial"/>
          <w:b/>
          <w:szCs w:val="20"/>
          <w:lang w:eastAsia="en-GB"/>
        </w:rPr>
        <w:t xml:space="preserve">PwC survey highlights the need for more financial services firms to act now on MiFID </w:t>
      </w:r>
      <w:r w:rsidRPr="00466B2E">
        <w:rPr>
          <w:rFonts w:cs="Arial"/>
          <w:b/>
          <w:szCs w:val="20"/>
          <w:lang w:eastAsia="en-GB"/>
        </w:rPr>
        <w:t>II</w:t>
      </w:r>
    </w:p>
    <w:p w:rsidR="005D135D" w:rsidRPr="00466B2E" w:rsidRDefault="005D135D">
      <w:pPr>
        <w:rPr>
          <w:szCs w:val="20"/>
        </w:rPr>
      </w:pPr>
    </w:p>
    <w:p w:rsidR="005D135D" w:rsidRPr="00466B2E" w:rsidRDefault="00C22FEA">
      <w:pPr>
        <w:rPr>
          <w:szCs w:val="20"/>
        </w:rPr>
      </w:pPr>
      <w:r w:rsidRPr="00466B2E">
        <w:rPr>
          <w:szCs w:val="20"/>
        </w:rPr>
        <w:t xml:space="preserve">Just over half of firms within all financial services industry sectors are considering MiFID II within the context of the wider regulatory change landscape, according to a PwC European-wide survey.  The report, </w:t>
      </w:r>
      <w:r w:rsidRPr="00466B2E">
        <w:rPr>
          <w:i/>
          <w:szCs w:val="20"/>
        </w:rPr>
        <w:t>“Are you taking control of the MiFID II a</w:t>
      </w:r>
      <w:r w:rsidRPr="00466B2E">
        <w:rPr>
          <w:i/>
          <w:szCs w:val="20"/>
        </w:rPr>
        <w:t>genda?”</w:t>
      </w:r>
      <w:r w:rsidRPr="00466B2E">
        <w:rPr>
          <w:szCs w:val="20"/>
        </w:rPr>
        <w:t xml:space="preserve"> published today by PwC, also reveals that although it is too early for firms to establish the cost of MiFID II, over half have allocated budget to undertake some initial activity in 2012.</w:t>
      </w:r>
    </w:p>
    <w:p w:rsidR="005D135D" w:rsidRPr="00466B2E" w:rsidRDefault="005D135D">
      <w:pPr>
        <w:spacing w:line="276" w:lineRule="auto"/>
        <w:rPr>
          <w:szCs w:val="20"/>
        </w:rPr>
      </w:pPr>
    </w:p>
    <w:p w:rsidR="005D135D" w:rsidRPr="00466B2E" w:rsidRDefault="00C22FEA">
      <w:pPr>
        <w:autoSpaceDE w:val="0"/>
        <w:autoSpaceDN w:val="0"/>
        <w:adjustRightInd w:val="0"/>
        <w:spacing w:line="240" w:lineRule="auto"/>
        <w:rPr>
          <w:rFonts w:cs="Georgia"/>
          <w:szCs w:val="20"/>
          <w:lang w:eastAsia="en-GB"/>
        </w:rPr>
      </w:pPr>
      <w:r w:rsidRPr="00466B2E">
        <w:rPr>
          <w:szCs w:val="20"/>
        </w:rPr>
        <w:t>Ullrich</w:t>
      </w:r>
      <w:r w:rsidRPr="00466B2E">
        <w:rPr>
          <w:szCs w:val="20"/>
        </w:rPr>
        <w:t xml:space="preserve"> Hartmann, financial services partner at PwC</w:t>
      </w:r>
      <w:r w:rsidR="00466B2E" w:rsidRPr="00466B2E">
        <w:rPr>
          <w:szCs w:val="20"/>
        </w:rPr>
        <w:t xml:space="preserve"> </w:t>
      </w:r>
      <w:r w:rsidRPr="00466B2E">
        <w:rPr>
          <w:rFonts w:cs="Georgia"/>
          <w:szCs w:val="20"/>
          <w:lang w:eastAsia="en-GB"/>
        </w:rPr>
        <w:t>said:</w:t>
      </w:r>
    </w:p>
    <w:p w:rsidR="005D135D" w:rsidRPr="00466B2E" w:rsidRDefault="005D135D">
      <w:pPr>
        <w:rPr>
          <w:szCs w:val="20"/>
        </w:rPr>
      </w:pPr>
    </w:p>
    <w:p w:rsidR="005D135D" w:rsidRPr="00466B2E" w:rsidRDefault="00C22FEA">
      <w:pPr>
        <w:ind w:left="567"/>
        <w:rPr>
          <w:szCs w:val="20"/>
        </w:rPr>
      </w:pPr>
      <w:r w:rsidRPr="00466B2E">
        <w:rPr>
          <w:szCs w:val="20"/>
        </w:rPr>
        <w:t>“Despite MiFID II deadlines being pushed back, it remains a key component of wider regulatory reform.  Our survey findings show that a number of firms hav</w:t>
      </w:r>
      <w:r w:rsidRPr="00466B2E">
        <w:rPr>
          <w:szCs w:val="20"/>
        </w:rPr>
        <w:t xml:space="preserve">e already set up working groups and are raising internal awareness, conducting initial high level impact assessments and undertaking analysis of the potential scenarios of MiFID II outcomes. Financial services firms are right to act sooner in order to set </w:t>
      </w:r>
      <w:r w:rsidRPr="00466B2E">
        <w:rPr>
          <w:szCs w:val="20"/>
        </w:rPr>
        <w:t>their future strategy and develop related systems and processes to prepare their business for MiFID II. ”</w:t>
      </w:r>
    </w:p>
    <w:p w:rsidR="005D135D" w:rsidRPr="00466B2E" w:rsidRDefault="005D135D">
      <w:pPr>
        <w:rPr>
          <w:szCs w:val="20"/>
        </w:rPr>
      </w:pPr>
    </w:p>
    <w:p w:rsidR="005D135D" w:rsidRPr="00466B2E" w:rsidRDefault="00C22FEA">
      <w:pPr>
        <w:rPr>
          <w:b/>
          <w:szCs w:val="20"/>
        </w:rPr>
      </w:pPr>
      <w:r w:rsidRPr="00466B2E">
        <w:rPr>
          <w:b/>
          <w:szCs w:val="20"/>
        </w:rPr>
        <w:t>Report key findings:</w:t>
      </w:r>
    </w:p>
    <w:p w:rsidR="005D135D" w:rsidRPr="00466B2E" w:rsidRDefault="005D135D">
      <w:pPr>
        <w:rPr>
          <w:b/>
          <w:szCs w:val="20"/>
        </w:rPr>
      </w:pPr>
    </w:p>
    <w:p w:rsidR="005D135D" w:rsidRPr="00466B2E" w:rsidRDefault="00C22FEA">
      <w:pPr>
        <w:pStyle w:val="ListParagraph"/>
        <w:numPr>
          <w:ilvl w:val="0"/>
          <w:numId w:val="11"/>
        </w:numPr>
        <w:rPr>
          <w:rFonts w:ascii="Georgia" w:hAnsi="Georgia"/>
          <w:sz w:val="20"/>
          <w:szCs w:val="20"/>
        </w:rPr>
      </w:pPr>
      <w:r w:rsidRPr="00466B2E">
        <w:rPr>
          <w:rFonts w:ascii="Georgia" w:hAnsi="Georgia"/>
          <w:sz w:val="20"/>
          <w:szCs w:val="20"/>
        </w:rPr>
        <w:t>Survey respondents expect and acknowledge that MIFID II will have major strategic impacts and will significantly influence thei</w:t>
      </w:r>
      <w:r w:rsidRPr="00466B2E">
        <w:rPr>
          <w:rFonts w:ascii="Georgia" w:hAnsi="Georgia"/>
          <w:sz w:val="20"/>
          <w:szCs w:val="20"/>
        </w:rPr>
        <w:t>r systems and business models</w:t>
      </w:r>
    </w:p>
    <w:p w:rsidR="005D135D" w:rsidRDefault="00C22FEA">
      <w:pPr>
        <w:pStyle w:val="ListParagraph"/>
        <w:numPr>
          <w:ilvl w:val="0"/>
          <w:numId w:val="11"/>
        </w:numPr>
        <w:rPr>
          <w:rFonts w:ascii="Georgia" w:hAnsi="Georgia"/>
          <w:sz w:val="20"/>
          <w:szCs w:val="20"/>
        </w:rPr>
      </w:pPr>
      <w:r w:rsidRPr="00466B2E">
        <w:rPr>
          <w:rFonts w:ascii="Georgia" w:hAnsi="Georgia"/>
          <w:sz w:val="20"/>
          <w:szCs w:val="20"/>
        </w:rPr>
        <w:t>Respondents were not clear on the cost of dealing with MiFID II, but over 50% allocated budget to undertaking initial activity in 2012</w:t>
      </w:r>
    </w:p>
    <w:p w:rsidR="00466B2E" w:rsidRDefault="00466B2E">
      <w:pPr>
        <w:pStyle w:val="ListParagraph"/>
        <w:numPr>
          <w:ilvl w:val="0"/>
          <w:numId w:val="11"/>
        </w:numPr>
        <w:rPr>
          <w:rFonts w:ascii="Georgia" w:hAnsi="Georgia"/>
          <w:sz w:val="20"/>
          <w:szCs w:val="20"/>
        </w:rPr>
      </w:pPr>
      <w:r>
        <w:rPr>
          <w:rFonts w:ascii="Georgia" w:hAnsi="Georgia"/>
          <w:sz w:val="20"/>
          <w:szCs w:val="20"/>
        </w:rPr>
        <w:t>Many firms will be considering undertaking a strategic analysis of the impacts before the end of 2012. Asset Managers appeared to have done less work on this at the time of our survey compared to broker dealers, retail banks and private banks</w:t>
      </w:r>
    </w:p>
    <w:p w:rsidR="005D135D" w:rsidRPr="00466B2E" w:rsidRDefault="00C22FEA">
      <w:pPr>
        <w:pStyle w:val="ListParagraph"/>
        <w:numPr>
          <w:ilvl w:val="0"/>
          <w:numId w:val="11"/>
        </w:numPr>
        <w:rPr>
          <w:rFonts w:ascii="Georgia" w:hAnsi="Georgia"/>
          <w:sz w:val="20"/>
          <w:szCs w:val="20"/>
        </w:rPr>
      </w:pPr>
      <w:r w:rsidRPr="00466B2E">
        <w:rPr>
          <w:rFonts w:ascii="Georgia" w:hAnsi="Georgia"/>
          <w:sz w:val="20"/>
          <w:szCs w:val="20"/>
        </w:rPr>
        <w:t>Survey respondents seem to believe that lobbying is unlikely to change the minds of regulators or politi</w:t>
      </w:r>
      <w:r w:rsidRPr="00466B2E">
        <w:rPr>
          <w:rFonts w:ascii="Georgia" w:hAnsi="Georgia"/>
          <w:sz w:val="20"/>
          <w:szCs w:val="20"/>
        </w:rPr>
        <w:t>cians with regard to MiFID II.  Over half of respondents stated they would not undertake lobbying at any stage.</w:t>
      </w:r>
    </w:p>
    <w:p w:rsidR="005D135D" w:rsidRPr="00466B2E" w:rsidRDefault="00C22FEA">
      <w:pPr>
        <w:pStyle w:val="ListParagraph"/>
        <w:numPr>
          <w:ilvl w:val="0"/>
          <w:numId w:val="11"/>
        </w:numPr>
        <w:rPr>
          <w:rFonts w:ascii="Georgia" w:hAnsi="Georgia"/>
          <w:sz w:val="20"/>
          <w:szCs w:val="20"/>
          <w:lang w:val="en-GB"/>
        </w:rPr>
      </w:pPr>
      <w:r w:rsidRPr="00466B2E">
        <w:rPr>
          <w:rFonts w:ascii="Georgia" w:hAnsi="Georgia"/>
          <w:sz w:val="20"/>
          <w:szCs w:val="20"/>
          <w:lang w:val="en-GB"/>
        </w:rPr>
        <w:t>Broker dealers have engaged more actively on lobbying as opposed to asset managers and retail firms.</w:t>
      </w:r>
    </w:p>
    <w:p w:rsidR="005D135D" w:rsidRPr="00466B2E" w:rsidRDefault="00C22FEA">
      <w:pPr>
        <w:pStyle w:val="ListParagraph"/>
        <w:numPr>
          <w:ilvl w:val="0"/>
          <w:numId w:val="11"/>
        </w:numPr>
        <w:rPr>
          <w:rFonts w:ascii="Georgia" w:hAnsi="Georgia"/>
          <w:sz w:val="20"/>
          <w:szCs w:val="20"/>
        </w:rPr>
      </w:pPr>
      <w:r w:rsidRPr="00466B2E">
        <w:rPr>
          <w:rFonts w:ascii="Georgia" w:hAnsi="Georgia"/>
          <w:sz w:val="20"/>
          <w:szCs w:val="20"/>
        </w:rPr>
        <w:t>As the impact of MiFID II will be more sign</w:t>
      </w:r>
      <w:r w:rsidRPr="00466B2E">
        <w:rPr>
          <w:rFonts w:ascii="Georgia" w:hAnsi="Georgia"/>
          <w:sz w:val="20"/>
          <w:szCs w:val="20"/>
        </w:rPr>
        <w:t>ificant for broker dealers, the majority of them have a relatively good understanding of the technical requirements within the MiFID II proposals and are including implementation plans for MiFID II in the context of the wider regulatory reform agenda</w:t>
      </w:r>
    </w:p>
    <w:p w:rsidR="005D135D" w:rsidRPr="00466B2E" w:rsidRDefault="00C22FEA">
      <w:pPr>
        <w:pStyle w:val="ListParagraph"/>
        <w:numPr>
          <w:ilvl w:val="0"/>
          <w:numId w:val="11"/>
        </w:numPr>
        <w:rPr>
          <w:rFonts w:ascii="Georgia" w:hAnsi="Georgia"/>
          <w:sz w:val="20"/>
          <w:szCs w:val="20"/>
        </w:rPr>
      </w:pPr>
      <w:r w:rsidRPr="00466B2E">
        <w:rPr>
          <w:rFonts w:ascii="Georgia" w:hAnsi="Georgia"/>
          <w:sz w:val="20"/>
          <w:szCs w:val="20"/>
        </w:rPr>
        <w:t xml:space="preserve">Only </w:t>
      </w:r>
      <w:r w:rsidRPr="00466B2E">
        <w:rPr>
          <w:rFonts w:ascii="Georgia" w:hAnsi="Georgia"/>
          <w:sz w:val="20"/>
          <w:szCs w:val="20"/>
        </w:rPr>
        <w:t>56% of survey respondents said they were considering the draft legislation for MiFID II within the context of the wider landscape of regulatory change.</w:t>
      </w:r>
    </w:p>
    <w:p w:rsidR="005D135D" w:rsidRPr="00466B2E" w:rsidRDefault="005D135D">
      <w:pPr>
        <w:rPr>
          <w:szCs w:val="20"/>
        </w:rPr>
      </w:pPr>
    </w:p>
    <w:p w:rsidR="005D135D" w:rsidRPr="00C60313" w:rsidRDefault="00C22FEA">
      <w:pPr>
        <w:autoSpaceDE w:val="0"/>
        <w:autoSpaceDN w:val="0"/>
        <w:adjustRightInd w:val="0"/>
        <w:spacing w:line="240" w:lineRule="auto"/>
        <w:rPr>
          <w:rFonts w:cs="Georgia"/>
          <w:szCs w:val="20"/>
          <w:lang w:eastAsia="en-GB"/>
        </w:rPr>
      </w:pPr>
      <w:r w:rsidRPr="00C60313">
        <w:rPr>
          <w:szCs w:val="20"/>
        </w:rPr>
        <w:lastRenderedPageBreak/>
        <w:t>Ullrich Hartmann, financial services partner at</w:t>
      </w:r>
      <w:r w:rsidR="00C60313" w:rsidRPr="00C60313">
        <w:rPr>
          <w:szCs w:val="20"/>
        </w:rPr>
        <w:t xml:space="preserve"> PwC</w:t>
      </w:r>
      <w:r w:rsidRPr="00C60313">
        <w:rPr>
          <w:rFonts w:cs="CharterITC-Regu"/>
          <w:szCs w:val="20"/>
          <w:lang w:eastAsia="en-GB"/>
        </w:rPr>
        <w:t xml:space="preserve"> </w:t>
      </w:r>
      <w:r w:rsidRPr="00C60313">
        <w:rPr>
          <w:rFonts w:cs="Georgia"/>
          <w:szCs w:val="20"/>
          <w:lang w:eastAsia="en-GB"/>
        </w:rPr>
        <w:t>concluded:</w:t>
      </w:r>
    </w:p>
    <w:p w:rsidR="005D135D" w:rsidRPr="00466B2E" w:rsidRDefault="005D135D">
      <w:pPr>
        <w:rPr>
          <w:szCs w:val="20"/>
        </w:rPr>
      </w:pPr>
    </w:p>
    <w:p w:rsidR="005D135D" w:rsidRPr="00466B2E" w:rsidRDefault="00C22FEA">
      <w:pPr>
        <w:ind w:left="567"/>
        <w:rPr>
          <w:szCs w:val="20"/>
        </w:rPr>
      </w:pPr>
      <w:r w:rsidRPr="00466B2E">
        <w:rPr>
          <w:szCs w:val="20"/>
        </w:rPr>
        <w:t>“Recognising the importance of considering MiFID II within the broader landscape of regulatory reform should help firms manage their change programmes in a more effective manner, compared to those who intend to deal with MiFID II in isolation.</w:t>
      </w:r>
    </w:p>
    <w:p w:rsidR="005D135D" w:rsidRPr="00466B2E" w:rsidRDefault="005D135D">
      <w:pPr>
        <w:ind w:left="567"/>
        <w:rPr>
          <w:szCs w:val="20"/>
        </w:rPr>
      </w:pPr>
    </w:p>
    <w:p w:rsidR="005D135D" w:rsidRPr="00466B2E" w:rsidRDefault="00C22FEA">
      <w:pPr>
        <w:ind w:left="567"/>
        <w:rPr>
          <w:szCs w:val="20"/>
        </w:rPr>
      </w:pPr>
      <w:r w:rsidRPr="00466B2E">
        <w:rPr>
          <w:szCs w:val="20"/>
        </w:rPr>
        <w:t>“MiFID II is not just a compliance exercise.  Given the magnitude of commercial and operational impacts, successful implementation will require early involvement of relevant business lines and key functions such as IT and operations.</w:t>
      </w:r>
    </w:p>
    <w:p w:rsidR="005D135D" w:rsidRPr="00466B2E" w:rsidRDefault="005D135D">
      <w:pPr>
        <w:ind w:left="567"/>
        <w:rPr>
          <w:szCs w:val="20"/>
        </w:rPr>
      </w:pPr>
    </w:p>
    <w:p w:rsidR="005D135D" w:rsidRPr="00466B2E" w:rsidRDefault="00C22FEA">
      <w:pPr>
        <w:ind w:left="567"/>
        <w:rPr>
          <w:szCs w:val="20"/>
        </w:rPr>
      </w:pPr>
      <w:r w:rsidRPr="00466B2E">
        <w:rPr>
          <w:szCs w:val="20"/>
        </w:rPr>
        <w:t xml:space="preserve">The deadline for </w:t>
      </w:r>
      <w:r w:rsidRPr="00466B2E">
        <w:rPr>
          <w:szCs w:val="20"/>
        </w:rPr>
        <w:t>MiFID II may have been pushed back, but acting now on MiFID II in the context of wider regulatory reform will help prevent firms from reacting too late to the market changes that will arise, losing profitability and surrendering market share to competitors</w:t>
      </w:r>
      <w:r w:rsidRPr="00466B2E">
        <w:rPr>
          <w:szCs w:val="20"/>
        </w:rPr>
        <w:t>. ”</w:t>
      </w:r>
    </w:p>
    <w:p w:rsidR="005D135D" w:rsidRPr="00466B2E" w:rsidRDefault="005D135D">
      <w:pPr>
        <w:rPr>
          <w:szCs w:val="20"/>
        </w:rPr>
      </w:pPr>
    </w:p>
    <w:p w:rsidR="005D135D" w:rsidRPr="00466B2E" w:rsidRDefault="00C22FEA">
      <w:pPr>
        <w:spacing w:line="320" w:lineRule="exact"/>
        <w:rPr>
          <w:rFonts w:cs="Arial"/>
          <w:b/>
          <w:szCs w:val="20"/>
        </w:rPr>
      </w:pPr>
      <w:r w:rsidRPr="00466B2E">
        <w:rPr>
          <w:rFonts w:cs="Arial"/>
          <w:b/>
          <w:szCs w:val="20"/>
        </w:rPr>
        <w:t>ENDS</w:t>
      </w:r>
    </w:p>
    <w:p w:rsidR="005D135D" w:rsidRPr="00466B2E" w:rsidRDefault="005D135D">
      <w:pPr>
        <w:autoSpaceDE w:val="0"/>
        <w:autoSpaceDN w:val="0"/>
        <w:adjustRightInd w:val="0"/>
        <w:jc w:val="both"/>
        <w:rPr>
          <w:rFonts w:cs="Verdana"/>
          <w:b/>
          <w:bCs/>
          <w:szCs w:val="20"/>
          <w:lang w:eastAsia="zh-CN"/>
        </w:rPr>
      </w:pPr>
    </w:p>
    <w:p w:rsidR="005D135D" w:rsidRPr="00466B2E" w:rsidRDefault="00C22FEA">
      <w:pPr>
        <w:autoSpaceDE w:val="0"/>
        <w:autoSpaceDN w:val="0"/>
        <w:adjustRightInd w:val="0"/>
        <w:jc w:val="both"/>
        <w:rPr>
          <w:rFonts w:cs="Verdana"/>
          <w:b/>
          <w:bCs/>
          <w:szCs w:val="20"/>
          <w:lang w:eastAsia="zh-CN"/>
        </w:rPr>
      </w:pPr>
      <w:r w:rsidRPr="00466B2E">
        <w:rPr>
          <w:rFonts w:cs="Verdana"/>
          <w:b/>
          <w:bCs/>
          <w:szCs w:val="20"/>
          <w:lang w:eastAsia="zh-CN"/>
        </w:rPr>
        <w:t>About PwC</w:t>
      </w:r>
    </w:p>
    <w:p w:rsidR="005D135D" w:rsidRPr="00466B2E" w:rsidRDefault="00C22FEA">
      <w:pPr>
        <w:pStyle w:val="BodyText"/>
        <w:spacing w:after="0" w:line="276" w:lineRule="auto"/>
        <w:rPr>
          <w:rFonts w:cs="Helv"/>
          <w:szCs w:val="20"/>
          <w:lang w:eastAsia="en-GB"/>
        </w:rPr>
      </w:pPr>
      <w:r w:rsidRPr="00466B2E">
        <w:rPr>
          <w:rFonts w:cs="Helv"/>
          <w:szCs w:val="20"/>
          <w:lang w:eastAsia="en-GB"/>
        </w:rPr>
        <w:t xml:space="preserve">PwC firms help organisations and individuals create the value they’re looking for. We’re a network of firms in 158 countries with close to 169,000 people who are committed to delivering quality in assurance, tax and advisory services. </w:t>
      </w:r>
      <w:r w:rsidRPr="00466B2E">
        <w:rPr>
          <w:rFonts w:cs="Helv"/>
          <w:szCs w:val="20"/>
          <w:lang w:eastAsia="en-GB"/>
        </w:rPr>
        <w:t>Tell us what matters to you and find out more by visiting us at www.pwc.com</w:t>
      </w:r>
    </w:p>
    <w:p w:rsidR="005D135D" w:rsidRPr="00466B2E" w:rsidRDefault="005D135D">
      <w:pPr>
        <w:jc w:val="both"/>
        <w:rPr>
          <w:rFonts w:cs="Arial"/>
          <w:szCs w:val="20"/>
        </w:rPr>
      </w:pPr>
    </w:p>
    <w:p w:rsidR="005D135D" w:rsidRPr="00466B2E" w:rsidRDefault="00C22FEA">
      <w:pPr>
        <w:jc w:val="both"/>
        <w:rPr>
          <w:szCs w:val="20"/>
        </w:rPr>
      </w:pPr>
      <w:r w:rsidRPr="00466B2E">
        <w:rPr>
          <w:rFonts w:cs="Arial"/>
          <w:szCs w:val="20"/>
        </w:rPr>
        <w:t>201</w:t>
      </w:r>
      <w:r w:rsidRPr="00466B2E">
        <w:rPr>
          <w:rFonts w:cs="Arial"/>
          <w:szCs w:val="20"/>
          <w:lang w:eastAsia="zh-CN"/>
        </w:rPr>
        <w:t>2</w:t>
      </w:r>
      <w:r w:rsidRPr="00466B2E">
        <w:rPr>
          <w:rFonts w:cs="Arial"/>
          <w:szCs w:val="20"/>
        </w:rPr>
        <w:t xml:space="preserve"> PricewaterhouseCoopers. All rights reserved.</w:t>
      </w:r>
    </w:p>
    <w:p w:rsidR="005D135D" w:rsidRPr="00466B2E" w:rsidRDefault="005D135D">
      <w:pPr>
        <w:autoSpaceDE w:val="0"/>
        <w:autoSpaceDN w:val="0"/>
        <w:adjustRightInd w:val="0"/>
      </w:pPr>
    </w:p>
    <w:sectPr w:rsidR="005D135D" w:rsidRPr="00466B2E" w:rsidSect="005D135D">
      <w:headerReference w:type="even" r:id="rId9"/>
      <w:headerReference w:type="default" r:id="rId10"/>
      <w:footerReference w:type="even" r:id="rId11"/>
      <w:footerReference w:type="default" r:id="rId12"/>
      <w:headerReference w:type="first" r:id="rId13"/>
      <w:pgSz w:w="11907" w:h="16839" w:code="9"/>
      <w:pgMar w:top="2892" w:right="1797" w:bottom="1440"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EA" w:rsidRDefault="00C22FEA">
      <w:pPr>
        <w:spacing w:line="240" w:lineRule="auto"/>
      </w:pPr>
      <w:r>
        <w:separator/>
      </w:r>
    </w:p>
  </w:endnote>
  <w:endnote w:type="continuationSeparator" w:id="0">
    <w:p w:rsidR="00C22FEA" w:rsidRDefault="00C22F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harterITC-Regu">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D" w:rsidRDefault="005D135D">
    <w:pPr>
      <w:pStyle w:val="Footer"/>
    </w:pPr>
    <w:fldSimple w:instr=" PAGE  \* MERGEFORMAT ">
      <w:r w:rsidR="00C22FEA">
        <w:rPr>
          <w:noProof/>
        </w:rPr>
        <w:t>2</w:t>
      </w:r>
    </w:fldSimple>
    <w:r w:rsidR="00C22FEA">
      <w:t xml:space="preserve"> of </w:t>
    </w:r>
    <w:fldSimple w:instr=" NUMPAGES  \* MERGEFORMAT ">
      <w:r w:rsidR="009F3F9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D" w:rsidRDefault="005D135D">
    <w:pPr>
      <w:pStyle w:val="Footer"/>
    </w:pPr>
    <w:fldSimple w:instr=" PAGE  \* MERGEFORMAT ">
      <w:r w:rsidR="00692DB4">
        <w:rPr>
          <w:noProof/>
        </w:rPr>
        <w:t>2</w:t>
      </w:r>
    </w:fldSimple>
    <w:r w:rsidR="00C22FEA">
      <w:t xml:space="preserve"> of </w:t>
    </w:r>
    <w:fldSimple w:instr=" NUMPAGES  \* MERGEFORMAT ">
      <w:r w:rsidR="00692DB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EA" w:rsidRDefault="00C22FEA">
      <w:pPr>
        <w:spacing w:line="240" w:lineRule="auto"/>
      </w:pPr>
      <w:r>
        <w:separator/>
      </w:r>
    </w:p>
  </w:footnote>
  <w:footnote w:type="continuationSeparator" w:id="0">
    <w:p w:rsidR="00C22FEA" w:rsidRDefault="00C22F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D" w:rsidRDefault="005D135D">
    <w:pPr>
      <w:pStyle w:val="Header"/>
    </w:pPr>
  </w:p>
  <w:p w:rsidR="005D135D" w:rsidRDefault="005D1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D" w:rsidRDefault="00C22FEA">
    <w:pPr>
      <w:pStyle w:val="Header"/>
    </w:pPr>
    <w:r>
      <w:rPr>
        <w:rFonts w:eastAsia="Calibri"/>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D" w:rsidRDefault="00C22FEA">
    <w:pPr>
      <w:pStyle w:val="Header"/>
    </w:pPr>
    <w:r>
      <w:rPr>
        <w:rFonts w:eastAsia="Calibri"/>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4552E8E"/>
    <w:multiLevelType w:val="hybridMultilevel"/>
    <w:tmpl w:val="5AD6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B57999"/>
    <w:multiLevelType w:val="hybridMultilevel"/>
    <w:tmpl w:val="CDD4C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E1737A"/>
    <w:multiLevelType w:val="hybridMultilevel"/>
    <w:tmpl w:val="390A9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8">
    <w:nsid w:val="5C916A2E"/>
    <w:multiLevelType w:val="hybridMultilevel"/>
    <w:tmpl w:val="46220F74"/>
    <w:lvl w:ilvl="0" w:tplc="2AAA42EC">
      <w:start w:val="1"/>
      <w:numFmt w:val="bullet"/>
      <w:lvlText w:val="•"/>
      <w:lvlJc w:val="left"/>
      <w:pPr>
        <w:tabs>
          <w:tab w:val="num" w:pos="720"/>
        </w:tabs>
        <w:ind w:left="720" w:hanging="360"/>
      </w:pPr>
      <w:rPr>
        <w:rFonts w:ascii="Arial" w:hAnsi="Arial" w:hint="default"/>
      </w:rPr>
    </w:lvl>
    <w:lvl w:ilvl="1" w:tplc="E1262644" w:tentative="1">
      <w:start w:val="1"/>
      <w:numFmt w:val="bullet"/>
      <w:lvlText w:val="•"/>
      <w:lvlJc w:val="left"/>
      <w:pPr>
        <w:tabs>
          <w:tab w:val="num" w:pos="1440"/>
        </w:tabs>
        <w:ind w:left="1440" w:hanging="360"/>
      </w:pPr>
      <w:rPr>
        <w:rFonts w:ascii="Arial" w:hAnsi="Arial" w:hint="default"/>
      </w:rPr>
    </w:lvl>
    <w:lvl w:ilvl="2" w:tplc="69A43CE2" w:tentative="1">
      <w:start w:val="1"/>
      <w:numFmt w:val="bullet"/>
      <w:lvlText w:val="•"/>
      <w:lvlJc w:val="left"/>
      <w:pPr>
        <w:tabs>
          <w:tab w:val="num" w:pos="2160"/>
        </w:tabs>
        <w:ind w:left="2160" w:hanging="360"/>
      </w:pPr>
      <w:rPr>
        <w:rFonts w:ascii="Arial" w:hAnsi="Arial" w:hint="default"/>
      </w:rPr>
    </w:lvl>
    <w:lvl w:ilvl="3" w:tplc="0284F1CE" w:tentative="1">
      <w:start w:val="1"/>
      <w:numFmt w:val="bullet"/>
      <w:lvlText w:val="•"/>
      <w:lvlJc w:val="left"/>
      <w:pPr>
        <w:tabs>
          <w:tab w:val="num" w:pos="2880"/>
        </w:tabs>
        <w:ind w:left="2880" w:hanging="360"/>
      </w:pPr>
      <w:rPr>
        <w:rFonts w:ascii="Arial" w:hAnsi="Arial" w:hint="default"/>
      </w:rPr>
    </w:lvl>
    <w:lvl w:ilvl="4" w:tplc="EE0E22A4" w:tentative="1">
      <w:start w:val="1"/>
      <w:numFmt w:val="bullet"/>
      <w:lvlText w:val="•"/>
      <w:lvlJc w:val="left"/>
      <w:pPr>
        <w:tabs>
          <w:tab w:val="num" w:pos="3600"/>
        </w:tabs>
        <w:ind w:left="3600" w:hanging="360"/>
      </w:pPr>
      <w:rPr>
        <w:rFonts w:ascii="Arial" w:hAnsi="Arial" w:hint="default"/>
      </w:rPr>
    </w:lvl>
    <w:lvl w:ilvl="5" w:tplc="31C270E6" w:tentative="1">
      <w:start w:val="1"/>
      <w:numFmt w:val="bullet"/>
      <w:lvlText w:val="•"/>
      <w:lvlJc w:val="left"/>
      <w:pPr>
        <w:tabs>
          <w:tab w:val="num" w:pos="4320"/>
        </w:tabs>
        <w:ind w:left="4320" w:hanging="360"/>
      </w:pPr>
      <w:rPr>
        <w:rFonts w:ascii="Arial" w:hAnsi="Arial" w:hint="default"/>
      </w:rPr>
    </w:lvl>
    <w:lvl w:ilvl="6" w:tplc="AF5A91CE" w:tentative="1">
      <w:start w:val="1"/>
      <w:numFmt w:val="bullet"/>
      <w:lvlText w:val="•"/>
      <w:lvlJc w:val="left"/>
      <w:pPr>
        <w:tabs>
          <w:tab w:val="num" w:pos="5040"/>
        </w:tabs>
        <w:ind w:left="5040" w:hanging="360"/>
      </w:pPr>
      <w:rPr>
        <w:rFonts w:ascii="Arial" w:hAnsi="Arial" w:hint="default"/>
      </w:rPr>
    </w:lvl>
    <w:lvl w:ilvl="7" w:tplc="F55436F8" w:tentative="1">
      <w:start w:val="1"/>
      <w:numFmt w:val="bullet"/>
      <w:lvlText w:val="•"/>
      <w:lvlJc w:val="left"/>
      <w:pPr>
        <w:tabs>
          <w:tab w:val="num" w:pos="5760"/>
        </w:tabs>
        <w:ind w:left="5760" w:hanging="360"/>
      </w:pPr>
      <w:rPr>
        <w:rFonts w:ascii="Arial" w:hAnsi="Arial" w:hint="default"/>
      </w:rPr>
    </w:lvl>
    <w:lvl w:ilvl="8" w:tplc="42E83910" w:tentative="1">
      <w:start w:val="1"/>
      <w:numFmt w:val="bullet"/>
      <w:lvlText w:val="•"/>
      <w:lvlJc w:val="left"/>
      <w:pPr>
        <w:tabs>
          <w:tab w:val="num" w:pos="6480"/>
        </w:tabs>
        <w:ind w:left="6480" w:hanging="360"/>
      </w:pPr>
      <w:rPr>
        <w:rFonts w:ascii="Arial" w:hAnsi="Arial" w:hint="default"/>
      </w:rPr>
    </w:lvl>
  </w:abstractNum>
  <w:abstractNum w:abstractNumId="9">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DB22637"/>
    <w:multiLevelType w:val="hybridMultilevel"/>
    <w:tmpl w:val="777E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
  </w:num>
  <w:num w:numId="6">
    <w:abstractNumId w:val="9"/>
  </w:num>
  <w:num w:numId="7">
    <w:abstractNumId w:val="7"/>
  </w:num>
  <w:num w:numId="8">
    <w:abstractNumId w:val="4"/>
  </w:num>
  <w:num w:numId="9">
    <w:abstractNumId w:val="10"/>
  </w:num>
  <w:num w:numId="10">
    <w:abstractNumId w:val="5"/>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5D135D"/>
    <w:rsid w:val="00466B2E"/>
    <w:rsid w:val="005D135D"/>
    <w:rsid w:val="00692DB4"/>
    <w:rsid w:val="009F3F90"/>
    <w:rsid w:val="00C22FEA"/>
    <w:rsid w:val="00C60313"/>
    <w:rsid w:val="00EF2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5D"/>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5D135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3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D135D"/>
  </w:style>
  <w:style w:type="paragraph" w:styleId="Footer">
    <w:name w:val="footer"/>
    <w:basedOn w:val="Normal"/>
    <w:link w:val="FooterChar"/>
    <w:uiPriority w:val="99"/>
    <w:semiHidden/>
    <w:unhideWhenUsed/>
    <w:rsid w:val="005D135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D135D"/>
  </w:style>
  <w:style w:type="paragraph" w:styleId="BodyText">
    <w:name w:val="Body Text"/>
    <w:basedOn w:val="Normal"/>
    <w:link w:val="BodyTextChar"/>
    <w:uiPriority w:val="99"/>
    <w:unhideWhenUsed/>
    <w:rsid w:val="005D135D"/>
    <w:pPr>
      <w:spacing w:after="240"/>
    </w:pPr>
  </w:style>
  <w:style w:type="character" w:customStyle="1" w:styleId="BodyTextChar">
    <w:name w:val="Body Text Char"/>
    <w:basedOn w:val="DefaultParagraphFont"/>
    <w:link w:val="BodyText"/>
    <w:uiPriority w:val="99"/>
    <w:rsid w:val="005D135D"/>
    <w:rPr>
      <w:rFonts w:ascii="Georgia" w:hAnsi="Georgia"/>
      <w:sz w:val="20"/>
    </w:rPr>
  </w:style>
  <w:style w:type="paragraph" w:styleId="Title">
    <w:name w:val="Title"/>
    <w:basedOn w:val="Normal"/>
    <w:next w:val="Normal"/>
    <w:link w:val="TitleChar"/>
    <w:uiPriority w:val="10"/>
    <w:qFormat/>
    <w:rsid w:val="005D135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D135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5D135D"/>
    <w:pPr>
      <w:spacing w:line="200" w:lineRule="atLeast"/>
    </w:pPr>
    <w:rPr>
      <w:i/>
      <w:sz w:val="18"/>
    </w:rPr>
  </w:style>
  <w:style w:type="character" w:customStyle="1" w:styleId="AddressChar">
    <w:name w:val="Address Char"/>
    <w:basedOn w:val="DefaultParagraphFont"/>
    <w:link w:val="Address"/>
    <w:rsid w:val="005D135D"/>
    <w:rPr>
      <w:rFonts w:ascii="Georgia" w:hAnsi="Georgia"/>
      <w:i/>
      <w:sz w:val="18"/>
    </w:rPr>
  </w:style>
  <w:style w:type="paragraph" w:customStyle="1" w:styleId="Disclaimer">
    <w:name w:val="Disclaimer"/>
    <w:basedOn w:val="Normal"/>
    <w:link w:val="DisclaimerChar"/>
    <w:rsid w:val="005D135D"/>
    <w:pPr>
      <w:spacing w:line="140" w:lineRule="atLeast"/>
    </w:pPr>
    <w:rPr>
      <w:rFonts w:ascii="Arial" w:hAnsi="Arial" w:cs="Arial"/>
      <w:sz w:val="12"/>
    </w:rPr>
  </w:style>
  <w:style w:type="character" w:customStyle="1" w:styleId="DisclaimerChar">
    <w:name w:val="Disclaimer Char"/>
    <w:basedOn w:val="DefaultParagraphFont"/>
    <w:link w:val="Disclaimer"/>
    <w:rsid w:val="005D135D"/>
    <w:rPr>
      <w:rFonts w:ascii="Arial" w:hAnsi="Arial" w:cs="Arial"/>
      <w:sz w:val="12"/>
    </w:rPr>
  </w:style>
  <w:style w:type="character" w:customStyle="1" w:styleId="Heading1Char">
    <w:name w:val="Heading 1 Char"/>
    <w:basedOn w:val="DefaultParagraphFont"/>
    <w:link w:val="Heading1"/>
    <w:rsid w:val="005D135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5D13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5D"/>
    <w:rPr>
      <w:rFonts w:ascii="Tahoma" w:hAnsi="Tahoma" w:cs="Tahoma"/>
      <w:sz w:val="16"/>
      <w:szCs w:val="16"/>
      <w:lang w:eastAsia="en-US"/>
    </w:rPr>
  </w:style>
  <w:style w:type="paragraph" w:styleId="ListParagraph">
    <w:name w:val="List Paragraph"/>
    <w:basedOn w:val="Normal"/>
    <w:uiPriority w:val="34"/>
    <w:qFormat/>
    <w:rsid w:val="005D135D"/>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5D135D"/>
    <w:rPr>
      <w:color w:val="0000FF"/>
      <w:u w:val="single"/>
    </w:rPr>
  </w:style>
  <w:style w:type="paragraph" w:customStyle="1" w:styleId="CharCharCharChar">
    <w:name w:val="Char Char Char Char"/>
    <w:basedOn w:val="Normal"/>
    <w:rsid w:val="005D135D"/>
    <w:pPr>
      <w:spacing w:after="160" w:line="240" w:lineRule="exact"/>
    </w:pPr>
    <w:rPr>
      <w:rFonts w:ascii="Tahoma" w:hAnsi="Tahoma" w:cs="Angsana New"/>
      <w:szCs w:val="20"/>
      <w:lang w:val="en-US"/>
    </w:rPr>
  </w:style>
  <w:style w:type="paragraph" w:customStyle="1" w:styleId="Heading">
    <w:name w:val="Heading"/>
    <w:basedOn w:val="Normal"/>
    <w:rsid w:val="005D135D"/>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5D135D"/>
    <w:rPr>
      <w:sz w:val="16"/>
      <w:szCs w:val="16"/>
    </w:rPr>
  </w:style>
  <w:style w:type="paragraph" w:styleId="CommentText">
    <w:name w:val="annotation text"/>
    <w:basedOn w:val="Normal"/>
    <w:link w:val="CommentTextChar"/>
    <w:uiPriority w:val="99"/>
    <w:semiHidden/>
    <w:unhideWhenUsed/>
    <w:rsid w:val="005D135D"/>
    <w:pPr>
      <w:spacing w:line="240" w:lineRule="auto"/>
    </w:pPr>
    <w:rPr>
      <w:szCs w:val="20"/>
    </w:rPr>
  </w:style>
  <w:style w:type="character" w:customStyle="1" w:styleId="CommentTextChar">
    <w:name w:val="Comment Text Char"/>
    <w:basedOn w:val="DefaultParagraphFont"/>
    <w:link w:val="CommentText"/>
    <w:uiPriority w:val="99"/>
    <w:semiHidden/>
    <w:rsid w:val="005D135D"/>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5D135D"/>
    <w:rPr>
      <w:b/>
      <w:bCs/>
    </w:rPr>
  </w:style>
  <w:style w:type="character" w:customStyle="1" w:styleId="CommentSubjectChar">
    <w:name w:val="Comment Subject Char"/>
    <w:basedOn w:val="CommentTextChar"/>
    <w:link w:val="CommentSubject"/>
    <w:uiPriority w:val="99"/>
    <w:semiHidden/>
    <w:rsid w:val="005D135D"/>
    <w:rPr>
      <w:b/>
      <w:bCs/>
    </w:rPr>
  </w:style>
  <w:style w:type="paragraph" w:styleId="Revision">
    <w:name w:val="Revision"/>
    <w:hidden/>
    <w:uiPriority w:val="99"/>
    <w:semiHidden/>
    <w:rsid w:val="005D135D"/>
    <w:rPr>
      <w:rFonts w:ascii="Georgia" w:hAnsi="Georgia"/>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val="en-GB"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Pr>
      <w:color w:val="0000FF"/>
      <w:u w:val="single"/>
    </w:rPr>
  </w:style>
  <w:style w:type="paragraph" w:customStyle="1" w:styleId="CharCharCharChar">
    <w:name w:val="Char Char Char Char"/>
    <w:basedOn w:val="Normal"/>
    <w:pPr>
      <w:spacing w:after="160" w:line="240" w:lineRule="exact"/>
    </w:pPr>
    <w:rPr>
      <w:rFonts w:ascii="Tahoma" w:hAnsi="Tahoma" w:cs="Angsana New"/>
      <w:szCs w:val="20"/>
      <w:lang w:val="en-US"/>
    </w:rPr>
  </w:style>
  <w:style w:type="paragraph" w:customStyle="1" w:styleId="Heading">
    <w:name w:val="Heading"/>
    <w:basedOn w:val="Normal"/>
    <w:pPr>
      <w:spacing w:line="240" w:lineRule="auto"/>
    </w:pPr>
    <w:rPr>
      <w:rFonts w:ascii="Arial" w:eastAsia="Times New Roman" w:hAnsi="Arial"/>
      <w:b/>
      <w:sz w:val="24"/>
      <w:szCs w:val="20"/>
    </w:rPr>
  </w:style>
</w:styles>
</file>

<file path=word/webSettings.xml><?xml version="1.0" encoding="utf-8"?>
<w:webSettings xmlns:r="http://schemas.openxmlformats.org/officeDocument/2006/relationships" xmlns:w="http://schemas.openxmlformats.org/wordprocessingml/2006/main">
  <w:divs>
    <w:div w:id="124735179">
      <w:bodyDiv w:val="1"/>
      <w:marLeft w:val="0"/>
      <w:marRight w:val="0"/>
      <w:marTop w:val="0"/>
      <w:marBottom w:val="0"/>
      <w:divBdr>
        <w:top w:val="none" w:sz="0" w:space="0" w:color="auto"/>
        <w:left w:val="none" w:sz="0" w:space="0" w:color="auto"/>
        <w:bottom w:val="none" w:sz="0" w:space="0" w:color="auto"/>
        <w:right w:val="none" w:sz="0" w:space="0" w:color="auto"/>
      </w:divBdr>
      <w:divsChild>
        <w:div w:id="487868057">
          <w:marLeft w:val="547"/>
          <w:marRight w:val="0"/>
          <w:marTop w:val="0"/>
          <w:marBottom w:val="180"/>
          <w:divBdr>
            <w:top w:val="none" w:sz="0" w:space="0" w:color="auto"/>
            <w:left w:val="none" w:sz="0" w:space="0" w:color="auto"/>
            <w:bottom w:val="none" w:sz="0" w:space="0" w:color="auto"/>
            <w:right w:val="none" w:sz="0" w:space="0" w:color="auto"/>
          </w:divBdr>
        </w:div>
      </w:divsChild>
    </w:div>
    <w:div w:id="293485963">
      <w:bodyDiv w:val="1"/>
      <w:marLeft w:val="0"/>
      <w:marRight w:val="0"/>
      <w:marTop w:val="0"/>
      <w:marBottom w:val="0"/>
      <w:divBdr>
        <w:top w:val="none" w:sz="0" w:space="0" w:color="auto"/>
        <w:left w:val="none" w:sz="0" w:space="0" w:color="auto"/>
        <w:bottom w:val="none" w:sz="0" w:space="0" w:color="auto"/>
        <w:right w:val="none" w:sz="0" w:space="0" w:color="auto"/>
      </w:divBdr>
      <w:divsChild>
        <w:div w:id="1283001966">
          <w:marLeft w:val="547"/>
          <w:marRight w:val="0"/>
          <w:marTop w:val="0"/>
          <w:marBottom w:val="180"/>
          <w:divBdr>
            <w:top w:val="none" w:sz="0" w:space="0" w:color="auto"/>
            <w:left w:val="none" w:sz="0" w:space="0" w:color="auto"/>
            <w:bottom w:val="none" w:sz="0" w:space="0" w:color="auto"/>
            <w:right w:val="none" w:sz="0" w:space="0" w:color="auto"/>
          </w:divBdr>
        </w:div>
      </w:divsChild>
    </w:div>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j.howbrook@uk.pw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F857-A41D-465B-8AE1-50BC616D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3876</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svanpelt001</cp:lastModifiedBy>
  <cp:revision>3</cp:revision>
  <cp:lastPrinted>2012-09-17T14:14:00Z</cp:lastPrinted>
  <dcterms:created xsi:type="dcterms:W3CDTF">2012-09-17T15:24:00Z</dcterms:created>
  <dcterms:modified xsi:type="dcterms:W3CDTF">2012-09-17T15:24:00Z</dcterms:modified>
</cp:coreProperties>
</file>