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536"/>
        </w:tabs>
        <w:rPr>
          <w:i/>
        </w:rPr>
      </w:pPr>
      <w:r>
        <w:rPr>
          <w:i/>
          <w:noProof/>
          <w:lang w:eastAsia="en-GB"/>
        </w:rPr>
        <w:pict>
          <v:shape id="_x0000_s1026"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Pr>
          <w:i/>
        </w:rPr>
        <w:tab/>
      </w:r>
    </w:p>
    <w:p>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tblPr>
      <w:tblGrid>
        <w:gridCol w:w="2268"/>
        <w:gridCol w:w="5211"/>
      </w:tblGrid>
      <w:tr>
        <w:tc>
          <w:tcPr>
            <w:tcW w:w="2268" w:type="dxa"/>
            <w:shd w:val="clear" w:color="auto" w:fill="auto"/>
          </w:tcPr>
          <w:p>
            <w:pPr>
              <w:rPr>
                <w:i/>
              </w:rPr>
            </w:pPr>
            <w:r>
              <w:rPr>
                <w:i/>
              </w:rPr>
              <w:t>Date</w:t>
            </w:r>
          </w:p>
        </w:tc>
        <w:tc>
          <w:tcPr>
            <w:tcW w:w="5211" w:type="dxa"/>
            <w:shd w:val="clear" w:color="auto" w:fill="auto"/>
          </w:tcPr>
          <w:p>
            <w:pPr>
              <w:rPr>
                <w:b/>
              </w:rPr>
            </w:pPr>
            <w:r>
              <w:rPr>
                <w:b/>
              </w:rPr>
              <w:t>Embargoed 00.01am GMT 7 December 2011</w:t>
            </w:r>
          </w:p>
          <w:p/>
        </w:tc>
      </w:tr>
      <w:tr>
        <w:tc>
          <w:tcPr>
            <w:tcW w:w="2268" w:type="dxa"/>
            <w:shd w:val="clear" w:color="auto" w:fill="auto"/>
          </w:tcPr>
          <w:p>
            <w:pPr>
              <w:rPr>
                <w:i/>
              </w:rPr>
            </w:pPr>
            <w:r>
              <w:rPr>
                <w:i/>
              </w:rPr>
              <w:t>Contact</w:t>
            </w:r>
          </w:p>
        </w:tc>
        <w:tc>
          <w:tcPr>
            <w:tcW w:w="5211" w:type="dxa"/>
            <w:shd w:val="clear" w:color="auto" w:fill="auto"/>
          </w:tcPr>
          <w:p>
            <w:pPr>
              <w:tabs>
                <w:tab w:val="left" w:pos="1440"/>
              </w:tabs>
              <w:ind w:left="1440" w:hanging="1440"/>
              <w:rPr>
                <w:rFonts w:cs="Arial"/>
                <w:lang w:val="it-IT"/>
              </w:rPr>
            </w:pPr>
            <w:r>
              <w:rPr>
                <w:rFonts w:cs="Arial"/>
                <w:bCs/>
                <w:lang w:val="it-IT"/>
              </w:rPr>
              <w:t>Rita Congera, media relations, PwC</w:t>
            </w:r>
          </w:p>
          <w:p>
            <w:pPr>
              <w:tabs>
                <w:tab w:val="left" w:pos="1440"/>
              </w:tabs>
              <w:ind w:left="1440" w:hanging="1440"/>
              <w:rPr>
                <w:rFonts w:cs="Arial"/>
                <w:lang w:val="it-IT"/>
              </w:rPr>
            </w:pPr>
            <w:r>
              <w:rPr>
                <w:rFonts w:cs="Arial"/>
                <w:lang w:val="it-IT"/>
              </w:rPr>
              <w:t>Tel: +44 207 212 1231/ + 44 7425 141510</w:t>
            </w:r>
          </w:p>
          <w:p>
            <w:pPr>
              <w:tabs>
                <w:tab w:val="left" w:pos="1440"/>
              </w:tabs>
              <w:ind w:left="1440" w:hanging="1440"/>
              <w:rPr>
                <w:rFonts w:cs="Arial"/>
                <w:lang w:val="it-IT"/>
              </w:rPr>
            </w:pPr>
            <w:r>
              <w:rPr>
                <w:rFonts w:cs="Arial"/>
                <w:lang w:val="it-IT"/>
              </w:rPr>
              <w:t>e-mail: rita.s.congera@uk.pwc.com</w:t>
            </w:r>
          </w:p>
          <w:p>
            <w:pPr>
              <w:tabs>
                <w:tab w:val="left" w:pos="1440"/>
              </w:tabs>
              <w:ind w:left="1440" w:hanging="1440"/>
              <w:rPr>
                <w:rFonts w:cs="Arial"/>
                <w:lang w:val="it-IT"/>
              </w:rPr>
            </w:pPr>
          </w:p>
          <w:p>
            <w:pPr>
              <w:autoSpaceDE w:val="0"/>
              <w:autoSpaceDN w:val="0"/>
              <w:adjustRightInd w:val="0"/>
              <w:spacing w:line="240" w:lineRule="auto"/>
              <w:rPr>
                <w:lang w:val="it-IT"/>
              </w:rPr>
            </w:pPr>
          </w:p>
        </w:tc>
      </w:tr>
      <w:tr>
        <w:tc>
          <w:tcPr>
            <w:tcW w:w="2268" w:type="dxa"/>
            <w:shd w:val="clear" w:color="auto" w:fill="auto"/>
          </w:tcPr>
          <w:p>
            <w:pPr>
              <w:rPr>
                <w:i/>
              </w:rPr>
            </w:pPr>
            <w:r>
              <w:rPr>
                <w:i/>
              </w:rPr>
              <w:t>Pages</w:t>
            </w:r>
          </w:p>
        </w:tc>
        <w:tc>
          <w:tcPr>
            <w:tcW w:w="5211" w:type="dxa"/>
            <w:shd w:val="clear" w:color="auto" w:fill="auto"/>
          </w:tcPr>
          <w:p>
            <w:r>
              <w:t>2</w:t>
            </w:r>
          </w:p>
        </w:tc>
      </w:tr>
    </w:tbl>
    <w:p>
      <w:pPr>
        <w:jc w:val="center"/>
        <w:rPr>
          <w:sz w:val="28"/>
          <w:szCs w:val="28"/>
        </w:rPr>
      </w:pPr>
      <w:r>
        <w:rPr>
          <w:noProof/>
          <w:szCs w:val="20"/>
          <w:lang w:eastAsia="zh-CN"/>
        </w:rPr>
        <w:pict>
          <v:line id="_x0000_s1027" style="position:absolute;left:0;text-align:left;z-index:251658240;mso-position-horizontal-relative:page;mso-position-vertical-relative:page" from="97.8pt,300.55pt" to="552.85pt,300.55pt" strokecolor="#e36c0a">
            <w10:wrap anchorx="page" anchory="page"/>
          </v:line>
        </w:pict>
      </w:r>
      <w:r>
        <w:rPr>
          <w:rFonts w:cs="Arial"/>
          <w:b/>
          <w:i/>
          <w:iCs/>
          <w:sz w:val="28"/>
          <w:szCs w:val="28"/>
        </w:rPr>
        <w:br w:type="textWrapping" w:clear="all"/>
      </w:r>
    </w:p>
    <w:p>
      <w:pPr>
        <w:spacing w:line="240" w:lineRule="auto"/>
        <w:rPr>
          <w:b/>
          <w:sz w:val="24"/>
          <w:szCs w:val="24"/>
        </w:rPr>
      </w:pPr>
      <w:r>
        <w:rPr>
          <w:b/>
          <w:sz w:val="24"/>
          <w:szCs w:val="24"/>
        </w:rPr>
        <w:t>Rare earth metals scarcity: A ‘ticking timebomb’ for the world, asks PwC?</w:t>
      </w:r>
    </w:p>
    <w:p>
      <w:pPr>
        <w:spacing w:line="240" w:lineRule="auto"/>
        <w:rPr>
          <w:b/>
          <w:sz w:val="24"/>
          <w:szCs w:val="24"/>
        </w:rPr>
      </w:pPr>
      <w:r>
        <w:rPr>
          <w:b/>
          <w:sz w:val="24"/>
          <w:szCs w:val="24"/>
        </w:rPr>
        <w:t xml:space="preserve"> </w:t>
      </w:r>
    </w:p>
    <w:p>
      <w:pPr>
        <w:pStyle w:val="ListParagraph"/>
        <w:numPr>
          <w:ilvl w:val="0"/>
          <w:numId w:val="21"/>
        </w:numPr>
        <w:spacing w:line="240" w:lineRule="auto"/>
        <w:rPr>
          <w:rFonts w:ascii="Georgia" w:hAnsi="Georgia"/>
          <w:b/>
          <w:sz w:val="20"/>
          <w:szCs w:val="20"/>
        </w:rPr>
      </w:pPr>
      <w:r>
        <w:rPr>
          <w:rFonts w:ascii="Georgia" w:hAnsi="Georgia"/>
          <w:b/>
          <w:sz w:val="20"/>
          <w:szCs w:val="20"/>
        </w:rPr>
        <w:t xml:space="preserve">Chemical, energy and auto industry in ‘red alert’ over disruption of supply  </w:t>
      </w:r>
    </w:p>
    <w:p>
      <w:pPr>
        <w:pStyle w:val="ListParagraph"/>
        <w:numPr>
          <w:ilvl w:val="0"/>
          <w:numId w:val="21"/>
        </w:numPr>
        <w:spacing w:line="240" w:lineRule="auto"/>
        <w:rPr>
          <w:rFonts w:ascii="Georgia" w:hAnsi="Georgia"/>
          <w:b/>
          <w:sz w:val="20"/>
          <w:szCs w:val="20"/>
        </w:rPr>
      </w:pPr>
      <w:r>
        <w:rPr>
          <w:rFonts w:ascii="Georgia" w:hAnsi="Georgia"/>
          <w:b/>
          <w:sz w:val="20"/>
          <w:szCs w:val="20"/>
        </w:rPr>
        <w:t xml:space="preserve">Manufacturers will struggle to keep up with demand </w:t>
      </w:r>
    </w:p>
    <w:p>
      <w:pPr>
        <w:pStyle w:val="ListParagraph"/>
        <w:numPr>
          <w:ilvl w:val="0"/>
          <w:numId w:val="21"/>
        </w:numPr>
        <w:spacing w:line="240" w:lineRule="auto"/>
        <w:rPr>
          <w:rFonts w:ascii="Georgia" w:hAnsi="Georgia"/>
          <w:b/>
          <w:i/>
          <w:sz w:val="20"/>
          <w:szCs w:val="20"/>
        </w:rPr>
      </w:pPr>
      <w:r>
        <w:rPr>
          <w:rFonts w:ascii="Georgia" w:hAnsi="Georgia"/>
          <w:b/>
          <w:sz w:val="20"/>
          <w:szCs w:val="20"/>
        </w:rPr>
        <w:t xml:space="preserve">14 raw materials named as ‘critical’ </w:t>
      </w:r>
    </w:p>
    <w:p>
      <w:pPr>
        <w:autoSpaceDE w:val="0"/>
        <w:autoSpaceDN w:val="0"/>
        <w:adjustRightInd w:val="0"/>
        <w:spacing w:line="240" w:lineRule="auto"/>
        <w:rPr>
          <w:rFonts w:cs="CharterITCCom-Italic"/>
          <w:iCs/>
          <w:lang w:val="en-US"/>
        </w:rPr>
      </w:pPr>
      <w:r>
        <w:rPr>
          <w:rFonts w:cs="CharterITCCom-Italic"/>
          <w:iCs/>
          <w:lang w:val="en-US"/>
        </w:rPr>
        <w:t>Seven core manufacturing industries could be seriously affected by a shortage of minerals and metals, which could disrupt entire supply chains and economies, according to new PwC research.</w:t>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CharterITCCom-Italic"/>
          <w:iCs/>
          <w:lang w:val="en-US"/>
        </w:rPr>
      </w:pPr>
      <w:r>
        <w:rPr>
          <w:rFonts w:cs="CharterITCCom-Italic"/>
          <w:iCs/>
          <w:lang w:val="en-US"/>
        </w:rPr>
        <w:t xml:space="preserve">PwC surveyed some of the largest manufacturing businesses across manufacturing, chemicals, automotive, energy/renewable energy, aviation, metals, infrastructure and high-tech hardware to see what impact such a scarcity would have, and where, over the next five years. </w:t>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CharterITCCom-Italic"/>
          <w:iCs/>
          <w:lang w:val="en-US"/>
        </w:rPr>
      </w:pPr>
      <w:r>
        <w:rPr>
          <w:rFonts w:cs="CharterITCCom-Italic"/>
          <w:iCs/>
          <w:lang w:val="en-US"/>
        </w:rPr>
        <w:t xml:space="preserve">Of these, business leaders in automotive, chemicals, and energy sectors fear they will be hit hardest according to PwC’s </w:t>
      </w:r>
      <w:r>
        <w:rPr>
          <w:rFonts w:cs="CharterITCCom-Italic"/>
          <w:b/>
          <w:iCs/>
          <w:lang w:val="en-US"/>
        </w:rPr>
        <w:t>Minerals and metals scarcity in manufacturing: A ‘ticking timebomb’</w:t>
      </w:r>
      <w:r>
        <w:rPr>
          <w:rFonts w:cs="CharterITCCom-Italic"/>
          <w:iCs/>
          <w:lang w:val="en-US"/>
        </w:rPr>
        <w:t xml:space="preserve">, report.  </w:t>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Georgia"/>
          <w:szCs w:val="20"/>
          <w:lang w:eastAsia="en-GB"/>
        </w:rPr>
      </w:pPr>
      <w:r>
        <w:rPr>
          <w:rFonts w:cs="CharterITCCom-Italic"/>
          <w:iCs/>
          <w:lang w:val="en-US"/>
        </w:rPr>
        <w:t>PwC’s global sustainability leader, Malcolm Preston, said:</w:t>
      </w:r>
      <w:r>
        <w:rPr>
          <w:rFonts w:cs="Georgia"/>
          <w:szCs w:val="20"/>
          <w:lang w:eastAsia="en-GB"/>
        </w:rPr>
        <w:t xml:space="preserve"> </w:t>
      </w:r>
    </w:p>
    <w:p>
      <w:pPr>
        <w:autoSpaceDE w:val="0"/>
        <w:autoSpaceDN w:val="0"/>
        <w:adjustRightInd w:val="0"/>
        <w:spacing w:line="240" w:lineRule="auto"/>
        <w:ind w:left="720"/>
        <w:rPr>
          <w:rFonts w:cs="Georgia"/>
          <w:szCs w:val="20"/>
          <w:lang w:eastAsia="en-GB"/>
        </w:rPr>
      </w:pPr>
    </w:p>
    <w:p>
      <w:pPr>
        <w:autoSpaceDE w:val="0"/>
        <w:autoSpaceDN w:val="0"/>
        <w:adjustRightInd w:val="0"/>
        <w:spacing w:line="240" w:lineRule="auto"/>
        <w:ind w:left="720"/>
        <w:rPr>
          <w:rFonts w:cs="Georgia"/>
          <w:color w:val="000000"/>
          <w:szCs w:val="20"/>
          <w:lang w:eastAsia="en-GB"/>
        </w:rPr>
      </w:pPr>
      <w:r>
        <w:rPr>
          <w:rFonts w:cs="Georgia"/>
          <w:szCs w:val="20"/>
          <w:lang w:eastAsia="en-GB"/>
        </w:rPr>
        <w:t>“</w:t>
      </w:r>
      <w:r>
        <w:rPr>
          <w:rFonts w:cs="Helv"/>
          <w:bCs/>
          <w:szCs w:val="20"/>
          <w:lang w:eastAsia="en-GB"/>
        </w:rPr>
        <w:t>Put simply, many businesses now recognise that we are living beyond the planet's means. N</w:t>
      </w:r>
      <w:r>
        <w:rPr>
          <w:rFonts w:cs="Georgia"/>
          <w:szCs w:val="20"/>
          <w:lang w:eastAsia="en-GB"/>
        </w:rPr>
        <w:t>ew business models will be fundamental to the ability to respond appropriately to the risks and opportunities</w:t>
      </w:r>
      <w:r>
        <w:rPr>
          <w:rFonts w:cs="Georgia"/>
          <w:color w:val="000000"/>
          <w:szCs w:val="20"/>
          <w:lang w:eastAsia="en-GB"/>
        </w:rPr>
        <w:t xml:space="preserve"> posed by the scarcity of minerals and metals.”</w:t>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CharterITCCom-Italic"/>
          <w:iCs/>
          <w:lang w:val="en-US"/>
        </w:rPr>
      </w:pPr>
      <w:r>
        <w:rPr>
          <w:rFonts w:cs="CharterITCCom-Italic"/>
          <w:iCs/>
          <w:lang w:val="en-US"/>
        </w:rPr>
        <w:t xml:space="preserve">The report’s main author’s, Hans Schoolderman of PwC Netherlands, added:  </w:t>
      </w:r>
    </w:p>
    <w:p>
      <w:pPr>
        <w:autoSpaceDE w:val="0"/>
        <w:autoSpaceDN w:val="0"/>
        <w:adjustRightInd w:val="0"/>
        <w:spacing w:line="240" w:lineRule="auto"/>
        <w:ind w:left="720"/>
        <w:rPr>
          <w:rFonts w:cs="CharterITCCom-Italic"/>
          <w:iCs/>
          <w:lang w:val="en-US"/>
        </w:rPr>
      </w:pPr>
    </w:p>
    <w:p>
      <w:pPr>
        <w:autoSpaceDE w:val="0"/>
        <w:autoSpaceDN w:val="0"/>
        <w:adjustRightInd w:val="0"/>
        <w:spacing w:line="240" w:lineRule="auto"/>
        <w:ind w:left="720"/>
        <w:rPr>
          <w:rFonts w:cs="CharterITCCom-Italic"/>
          <w:iCs/>
          <w:lang w:val="en-US"/>
        </w:rPr>
      </w:pPr>
      <w:r>
        <w:rPr>
          <w:rFonts w:cs="CharterITCCom-Italic"/>
          <w:iCs/>
          <w:lang w:val="en-US"/>
        </w:rPr>
        <w:t>“The world’s growing population, an increase in GDP levels and changing lifestyles are causing consumption levels to rise globally - creating a higher and higher demand for resources. Governments and companies should all be aware of the scope, importance and urgency of the scarcity of both renewable and non-renewable natural resources: energy, water, land and minerals.”</w:t>
      </w:r>
    </w:p>
    <w:p>
      <w:pPr>
        <w:autoSpaceDE w:val="0"/>
        <w:autoSpaceDN w:val="0"/>
        <w:adjustRightInd w:val="0"/>
        <w:spacing w:line="240" w:lineRule="auto"/>
        <w:rPr>
          <w:rFonts w:cs="CharterITCCom-Italic"/>
          <w:iCs/>
          <w:szCs w:val="20"/>
          <w:lang w:val="en-US"/>
        </w:rPr>
      </w:pPr>
    </w:p>
    <w:p>
      <w:pPr>
        <w:autoSpaceDE w:val="0"/>
        <w:autoSpaceDN w:val="0"/>
        <w:adjustRightInd w:val="0"/>
        <w:spacing w:line="240" w:lineRule="auto"/>
        <w:rPr>
          <w:rFonts w:cs="CharterITCCom-Italic"/>
          <w:iCs/>
          <w:szCs w:val="20"/>
          <w:lang w:val="en-US"/>
        </w:rPr>
      </w:pPr>
      <w:r>
        <w:rPr>
          <w:rFonts w:cs="CharterITCCom-Italic"/>
          <w:iCs/>
          <w:szCs w:val="20"/>
          <w:lang w:val="en-US"/>
        </w:rPr>
        <w:t>Among the minerals &amp; metals on the ‘critical’ list are:</w:t>
      </w:r>
    </w:p>
    <w:p>
      <w:pPr>
        <w:autoSpaceDE w:val="0"/>
        <w:autoSpaceDN w:val="0"/>
        <w:adjustRightInd w:val="0"/>
        <w:spacing w:line="240" w:lineRule="auto"/>
        <w:rPr>
          <w:rFonts w:cs="CharterITCCom-Italic"/>
          <w:iCs/>
          <w:szCs w:val="20"/>
          <w:lang w:val="en-US"/>
        </w:rPr>
      </w:pPr>
    </w:p>
    <w:p>
      <w:pPr>
        <w:pStyle w:val="ListParagraph"/>
        <w:numPr>
          <w:ilvl w:val="0"/>
          <w:numId w:val="22"/>
        </w:numPr>
        <w:autoSpaceDE w:val="0"/>
        <w:autoSpaceDN w:val="0"/>
        <w:adjustRightInd w:val="0"/>
        <w:spacing w:line="240" w:lineRule="auto"/>
        <w:rPr>
          <w:rFonts w:ascii="Georgia" w:hAnsi="Georgia" w:cs="CharterITCCom-Italic"/>
          <w:iCs/>
          <w:sz w:val="20"/>
          <w:szCs w:val="20"/>
          <w:lang w:val="en-US"/>
        </w:rPr>
      </w:pPr>
      <w:r>
        <w:rPr>
          <w:rFonts w:ascii="Georgia" w:hAnsi="Georgia" w:cs="CharterITCCom-Italic"/>
          <w:iCs/>
          <w:sz w:val="20"/>
          <w:szCs w:val="20"/>
          <w:lang w:val="en-US"/>
        </w:rPr>
        <w:t xml:space="preserve">Beryllium: used as a lightweight component in military equipment and in the aerospace industry. </w:t>
      </w:r>
      <w:proofErr w:type="gramStart"/>
      <w:r>
        <w:rPr>
          <w:rFonts w:ascii="Georgia" w:hAnsi="Georgia" w:cs="CharterITCCom-Italic"/>
          <w:iCs/>
          <w:sz w:val="20"/>
          <w:szCs w:val="20"/>
          <w:lang w:val="en-US"/>
        </w:rPr>
        <w:t>it</w:t>
      </w:r>
      <w:proofErr w:type="gramEnd"/>
      <w:r>
        <w:rPr>
          <w:rFonts w:ascii="Georgia" w:hAnsi="Georgia" w:cs="CharterITCCom-Italic"/>
          <w:iCs/>
          <w:sz w:val="20"/>
          <w:szCs w:val="20"/>
          <w:lang w:val="en-US"/>
        </w:rPr>
        <w:t xml:space="preserve"> is used in high-speed aircraft, missiles, space vehicles and communication satellites.</w:t>
      </w:r>
    </w:p>
    <w:p>
      <w:pPr>
        <w:pStyle w:val="ListParagraph"/>
        <w:numPr>
          <w:ilvl w:val="0"/>
          <w:numId w:val="22"/>
        </w:numPr>
        <w:autoSpaceDE w:val="0"/>
        <w:autoSpaceDN w:val="0"/>
        <w:adjustRightInd w:val="0"/>
        <w:spacing w:line="240" w:lineRule="auto"/>
        <w:rPr>
          <w:rFonts w:ascii="Georgia" w:hAnsi="Georgia" w:cs="CharterITCCom-Italic"/>
          <w:iCs/>
          <w:sz w:val="20"/>
          <w:szCs w:val="20"/>
          <w:lang w:val="en-US"/>
        </w:rPr>
      </w:pPr>
      <w:r>
        <w:rPr>
          <w:rFonts w:ascii="Georgia" w:hAnsi="Georgia" w:cs="CharterITCCom-Italic"/>
          <w:iCs/>
          <w:sz w:val="20"/>
          <w:szCs w:val="20"/>
          <w:lang w:val="en-US"/>
        </w:rPr>
        <w:t>Cobalt: a material used in industrial manufacturing.</w:t>
      </w:r>
      <w:r>
        <w:rPr>
          <w:rFonts w:ascii="Georgia" w:hAnsi="Georgia"/>
          <w:sz w:val="20"/>
          <w:szCs w:val="20"/>
        </w:rPr>
        <w:t xml:space="preserve"> Used in jet turbine engines and automotive rechargeable batteries.</w:t>
      </w:r>
    </w:p>
    <w:p>
      <w:pPr>
        <w:pStyle w:val="ListParagraph"/>
        <w:numPr>
          <w:ilvl w:val="0"/>
          <w:numId w:val="22"/>
        </w:numPr>
        <w:autoSpaceDE w:val="0"/>
        <w:autoSpaceDN w:val="0"/>
        <w:adjustRightInd w:val="0"/>
        <w:spacing w:line="240" w:lineRule="auto"/>
        <w:rPr>
          <w:rFonts w:ascii="Georgia" w:hAnsi="Georgia" w:cs="CharterITCCom-Italic"/>
          <w:iCs/>
          <w:sz w:val="20"/>
          <w:szCs w:val="20"/>
          <w:lang w:val="en-US"/>
        </w:rPr>
      </w:pPr>
      <w:r>
        <w:rPr>
          <w:rFonts w:ascii="Georgia" w:hAnsi="Georgia"/>
          <w:sz w:val="20"/>
          <w:szCs w:val="20"/>
        </w:rPr>
        <w:t xml:space="preserve">Tantalum: used in mobile phones, computers and automotive electronics </w:t>
      </w:r>
    </w:p>
    <w:p>
      <w:pPr>
        <w:pStyle w:val="ListParagraph"/>
        <w:numPr>
          <w:ilvl w:val="0"/>
          <w:numId w:val="22"/>
        </w:numPr>
        <w:autoSpaceDE w:val="0"/>
        <w:autoSpaceDN w:val="0"/>
        <w:adjustRightInd w:val="0"/>
        <w:spacing w:line="240" w:lineRule="auto"/>
        <w:rPr>
          <w:rFonts w:ascii="Georgia" w:hAnsi="Georgia" w:cs="CharterITCCom-Italic"/>
          <w:iCs/>
          <w:sz w:val="20"/>
          <w:szCs w:val="20"/>
          <w:lang w:val="en-US"/>
        </w:rPr>
      </w:pPr>
      <w:proofErr w:type="spellStart"/>
      <w:r>
        <w:rPr>
          <w:rFonts w:ascii="Georgia" w:hAnsi="Georgia"/>
          <w:sz w:val="20"/>
          <w:szCs w:val="20"/>
        </w:rPr>
        <w:lastRenderedPageBreak/>
        <w:t>Flurospar</w:t>
      </w:r>
      <w:proofErr w:type="spellEnd"/>
      <w:r>
        <w:rPr>
          <w:rFonts w:ascii="Georgia" w:hAnsi="Georgia"/>
          <w:sz w:val="20"/>
          <w:szCs w:val="20"/>
        </w:rPr>
        <w:t>: used in construction, cement, glass, iron and steel castings.</w:t>
      </w:r>
    </w:p>
    <w:p>
      <w:pPr>
        <w:pStyle w:val="ListParagraph"/>
        <w:numPr>
          <w:ilvl w:val="0"/>
          <w:numId w:val="22"/>
        </w:numPr>
        <w:autoSpaceDE w:val="0"/>
        <w:autoSpaceDN w:val="0"/>
        <w:adjustRightInd w:val="0"/>
        <w:spacing w:line="240" w:lineRule="auto"/>
        <w:rPr>
          <w:rFonts w:ascii="Georgia" w:hAnsi="Georgia" w:cs="CharterITCCom-Italic"/>
          <w:iCs/>
          <w:sz w:val="20"/>
          <w:szCs w:val="20"/>
          <w:lang w:val="en-US"/>
        </w:rPr>
      </w:pPr>
      <w:r>
        <w:rPr>
          <w:rFonts w:ascii="Georgia" w:hAnsi="Georgia"/>
          <w:sz w:val="20"/>
          <w:szCs w:val="20"/>
        </w:rPr>
        <w:t>Lithium: used in wind turbines and lithium-ion batteries in hybrid cars</w:t>
      </w:r>
    </w:p>
    <w:p>
      <w:pPr>
        <w:autoSpaceDE w:val="0"/>
        <w:autoSpaceDN w:val="0"/>
        <w:adjustRightInd w:val="0"/>
        <w:spacing w:line="240" w:lineRule="auto"/>
        <w:rPr>
          <w:rFonts w:cs="CharterITCCom-Italic"/>
          <w:iCs/>
          <w:lang w:val="en-US"/>
        </w:rPr>
      </w:pPr>
      <w:r>
        <w:rPr>
          <w:rFonts w:cs="CharterITCCom-Italic"/>
          <w:iCs/>
          <w:lang w:val="en-US"/>
        </w:rPr>
        <w:t xml:space="preserve"> </w:t>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Helv"/>
          <w:b/>
          <w:color w:val="000000"/>
          <w:szCs w:val="20"/>
          <w:lang w:val="en-US"/>
        </w:rPr>
      </w:pPr>
      <w:r>
        <w:rPr>
          <w:rFonts w:cs="Helv"/>
          <w:b/>
          <w:color w:val="000000"/>
          <w:szCs w:val="20"/>
          <w:lang w:val="en-US"/>
        </w:rPr>
        <w:t>Figure 1: Perceived risks compared to preparedness of manufacturing industries</w:t>
      </w:r>
    </w:p>
    <w:p>
      <w:pPr>
        <w:autoSpaceDE w:val="0"/>
        <w:autoSpaceDN w:val="0"/>
        <w:adjustRightInd w:val="0"/>
        <w:spacing w:line="240" w:lineRule="auto"/>
        <w:rPr>
          <w:rFonts w:cs="Helv"/>
          <w:color w:val="000000"/>
          <w:lang w:val="en-US"/>
        </w:rPr>
      </w:pPr>
    </w:p>
    <w:p>
      <w:pPr>
        <w:autoSpaceDE w:val="0"/>
        <w:autoSpaceDN w:val="0"/>
        <w:adjustRightInd w:val="0"/>
        <w:spacing w:line="240" w:lineRule="auto"/>
        <w:rPr>
          <w:rFonts w:cs="Helv"/>
          <w:color w:val="000000"/>
          <w:lang w:val="en-US"/>
        </w:rPr>
      </w:pPr>
      <w:r>
        <w:rPr>
          <w:rFonts w:cs="Helv"/>
          <w:noProof/>
          <w:color w:val="000000"/>
          <w:lang w:eastAsia="en-GB"/>
        </w:rPr>
        <w:drawing>
          <wp:inline distT="0" distB="0" distL="0" distR="0">
            <wp:extent cx="2981325" cy="2105025"/>
            <wp:effectExtent l="19050" t="0" r="0" b="0"/>
            <wp:docPr id="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5215890"/>
                      <a:chOff x="533400" y="1337310"/>
                      <a:chExt cx="7391400" cy="5215890"/>
                    </a:xfrm>
                  </a:grpSpPr>
                  <a:sp>
                    <a:nvSpPr>
                      <a:cNvPr id="34" name="Rectangle 33"/>
                      <a:cNvSpPr/>
                    </a:nvSpPr>
                    <a:spPr bwMode="ltGray">
                      <a:xfrm>
                        <a:off x="2324100" y="1337310"/>
                        <a:ext cx="5257800" cy="4572000"/>
                      </a:xfrm>
                      <a:prstGeom prst="rect">
                        <a:avLst/>
                      </a:prstGeom>
                      <a:gradFill>
                        <a:gsLst>
                          <a:gs pos="0">
                            <a:srgbClr val="00682F"/>
                          </a:gs>
                          <a:gs pos="45000">
                            <a:srgbClr val="FFB600"/>
                          </a:gs>
                          <a:gs pos="70000">
                            <a:srgbClr val="E0301E"/>
                          </a:gs>
                          <a:gs pos="100000">
                            <a:srgbClr val="E0301E">
                              <a:lumMod val="75000"/>
                            </a:srgbClr>
                          </a:gs>
                        </a:gsLst>
                        <a:lin ang="18600000" scaled="0"/>
                      </a:gra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endParaRPr lang="en-US" sz="1000" b="1" dirty="0"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rot="16200000">
                        <a:off x="-533400" y="3581400"/>
                        <a:ext cx="4572000" cy="3048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lgn="ctr">
                            <a:spcAft>
                              <a:spcPts val="900"/>
                            </a:spcAft>
                          </a:pPr>
                          <a:r>
                            <a:rPr lang="en-US" dirty="0" smtClean="0">
                              <a:solidFill>
                                <a:srgbClr val="C00000"/>
                              </a:solidFill>
                              <a:latin typeface="Georgia" pitchFamily="18" charset="0"/>
                            </a:rPr>
                            <a:t>Preparedness</a:t>
                          </a:r>
                          <a:endParaRPr lang="nl-NL" dirty="0" err="1" smtClean="0">
                            <a:solidFill>
                              <a:srgbClr val="C00000"/>
                            </a:solidFill>
                            <a:latin typeface="Georgia" pitchFamily="18" charset="0"/>
                          </a:endParaRPr>
                        </a:p>
                      </a:txBody>
                      <a:useSpRect/>
                    </a:txSp>
                  </a:sp>
                  <a:sp>
                    <a:nvSpPr>
                      <a:cNvPr id="33" name="TextBox 32"/>
                      <a:cNvSpPr txBox="1"/>
                    </a:nvSpPr>
                    <a:spPr>
                      <a:xfrm>
                        <a:off x="2057400" y="6248400"/>
                        <a:ext cx="5562600" cy="3048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lgn="ctr">
                            <a:spcAft>
                              <a:spcPts val="900"/>
                            </a:spcAft>
                          </a:pPr>
                          <a:r>
                            <a:rPr lang="en-US" dirty="0" smtClean="0">
                              <a:solidFill>
                                <a:srgbClr val="C00000"/>
                              </a:solidFill>
                              <a:latin typeface="Georgia" pitchFamily="18" charset="0"/>
                              <a:sym typeface="Wingdings" pitchFamily="2" charset="2"/>
                            </a:rPr>
                            <a:t>Perceived </a:t>
                          </a:r>
                          <a:r>
                            <a:rPr lang="en-US" dirty="0" smtClean="0">
                              <a:solidFill>
                                <a:srgbClr val="C00000"/>
                              </a:solidFill>
                              <a:latin typeface="Georgia" pitchFamily="18" charset="0"/>
                              <a:sym typeface="Wingdings" pitchFamily="2" charset="2"/>
                            </a:rPr>
                            <a:t>Risk</a:t>
                          </a:r>
                          <a:endParaRPr lang="nl-NL" dirty="0" err="1" smtClean="0">
                            <a:solidFill>
                              <a:srgbClr val="C00000"/>
                            </a:solidFill>
                            <a:latin typeface="Georgia" pitchFamily="18" charset="0"/>
                          </a:endParaRPr>
                        </a:p>
                      </a:txBody>
                      <a:useSpRect/>
                    </a:txSp>
                  </a:sp>
                  <a:sp>
                    <a:nvSpPr>
                      <a:cNvPr id="45" name="TextBox 44"/>
                      <a:cNvSpPr txBox="1"/>
                    </a:nvSpPr>
                    <a:spPr>
                      <a:xfrm>
                        <a:off x="3124200" y="2286000"/>
                        <a:ext cx="838200" cy="48768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600" b="1" dirty="0" smtClean="0">
                              <a:solidFill>
                                <a:srgbClr val="FFFFFF"/>
                              </a:solidFill>
                              <a:latin typeface="Georgia" pitchFamily="18" charset="0"/>
                            </a:rPr>
                            <a:t>Action zone</a:t>
                          </a:r>
                          <a:endParaRPr lang="nl-NL" sz="1600" b="1" dirty="0" err="1" smtClean="0">
                            <a:solidFill>
                              <a:srgbClr val="FFFFFF"/>
                            </a:solidFill>
                            <a:latin typeface="Georgia" pitchFamily="18" charset="0"/>
                          </a:endParaRPr>
                        </a:p>
                      </a:txBody>
                      <a:useSpRect/>
                    </a:txSp>
                  </a:sp>
                  <a:sp>
                    <a:nvSpPr>
                      <a:cNvPr id="46" name="TextBox 45"/>
                      <a:cNvSpPr txBox="1"/>
                    </a:nvSpPr>
                    <a:spPr>
                      <a:xfrm>
                        <a:off x="6629400" y="1905000"/>
                        <a:ext cx="1295400" cy="5334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600" b="1" dirty="0" smtClean="0">
                              <a:solidFill>
                                <a:srgbClr val="FFFFFF"/>
                              </a:solidFill>
                              <a:latin typeface="Georgia" pitchFamily="18" charset="0"/>
                            </a:rPr>
                            <a:t>Alert</a:t>
                          </a:r>
                          <a:endParaRPr lang="nl-NL" sz="2000" b="1" dirty="0" err="1" smtClean="0">
                            <a:solidFill>
                              <a:srgbClr val="FFFFFF"/>
                            </a:solidFill>
                            <a:latin typeface="Georgia" pitchFamily="18" charset="0"/>
                          </a:endParaRPr>
                        </a:p>
                      </a:txBody>
                      <a:useSpRect/>
                    </a:txSp>
                  </a:sp>
                  <a:cxnSp>
                    <a:nvCxnSpPr>
                      <a:cNvPr id="38" name="Straight Connector 37"/>
                      <a:cNvCxnSpPr>
                        <a:endCxn id="34" idx="2"/>
                      </a:cNvCxnSpPr>
                    </a:nvCxnSpPr>
                    <a:spPr>
                      <a:xfrm>
                        <a:off x="2286000" y="3429000"/>
                        <a:ext cx="2667000" cy="2480310"/>
                      </a:xfrm>
                      <a:prstGeom prst="line">
                        <a:avLst/>
                      </a:prstGeom>
                      <a:noFill/>
                      <a:ln w="28575" cap="flat" cmpd="sng" algn="ctr">
                        <a:solidFill>
                          <a:srgbClr val="FFFFFF"/>
                        </a:solidFill>
                        <a:prstDash val="sysDash"/>
                      </a:ln>
                      <a:effectLst/>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438400" y="5379720"/>
                        <a:ext cx="2209800" cy="48768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600" b="1" dirty="0" smtClean="0">
                              <a:solidFill>
                                <a:srgbClr val="FFFFFF"/>
                              </a:solidFill>
                              <a:latin typeface="Georgia" pitchFamily="18" charset="0"/>
                            </a:rPr>
                            <a:t>Tracking  issue</a:t>
                          </a:r>
                          <a:endParaRPr lang="nl-NL" sz="1600" b="1" dirty="0" err="1" smtClean="0">
                            <a:solidFill>
                              <a:srgbClr val="FFFFFF"/>
                            </a:solidFill>
                            <a:latin typeface="Georgia" pitchFamily="18" charset="0"/>
                          </a:endParaRPr>
                        </a:p>
                      </a:txBody>
                      <a:useSpRect/>
                    </a:txSp>
                  </a:sp>
                  <a:cxnSp>
                    <a:nvCxnSpPr>
                      <a:cNvPr id="52" name="Straight Connector 51"/>
                      <a:cNvCxnSpPr/>
                    </a:nvCxnSpPr>
                    <a:spPr>
                      <a:xfrm>
                        <a:off x="4876800" y="1371600"/>
                        <a:ext cx="2667000" cy="2362200"/>
                      </a:xfrm>
                      <a:prstGeom prst="line">
                        <a:avLst/>
                      </a:prstGeom>
                      <a:noFill/>
                      <a:ln w="38100" cap="flat" cmpd="sng" algn="ctr">
                        <a:solidFill>
                          <a:srgbClr val="FFFFFF"/>
                        </a:solidFill>
                        <a:prstDash val="sysDash"/>
                      </a:ln>
                      <a:effectLst/>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5791200" y="4876800"/>
                        <a:ext cx="990600" cy="3048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Automotive</a:t>
                          </a:r>
                          <a:endParaRPr lang="nl-NL" sz="1100" dirty="0" err="1" smtClean="0">
                            <a:latin typeface="Georgia" pitchFamily="18" charset="0"/>
                          </a:endParaRPr>
                        </a:p>
                      </a:txBody>
                      <a:useSpRect/>
                    </a:txSp>
                  </a:sp>
                  <a:sp>
                    <a:nvSpPr>
                      <a:cNvPr id="27" name="TextBox 26"/>
                      <a:cNvSpPr txBox="1"/>
                    </a:nvSpPr>
                    <a:spPr>
                      <a:xfrm>
                        <a:off x="3352800" y="3810000"/>
                        <a:ext cx="914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Aviation</a:t>
                          </a:r>
                          <a:endParaRPr lang="nl-NL" sz="1100" dirty="0" err="1" smtClean="0">
                            <a:latin typeface="Georgia" pitchFamily="18" charset="0"/>
                          </a:endParaRPr>
                        </a:p>
                      </a:txBody>
                      <a:useSpRect/>
                    </a:txSp>
                  </a:sp>
                  <a:sp>
                    <a:nvSpPr>
                      <a:cNvPr id="28" name="TextBox 27"/>
                      <a:cNvSpPr txBox="1"/>
                    </a:nvSpPr>
                    <a:spPr>
                      <a:xfrm>
                        <a:off x="4419600" y="5105400"/>
                        <a:ext cx="914400" cy="3048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High tech</a:t>
                          </a:r>
                          <a:endParaRPr lang="nl-NL" sz="1100" dirty="0" err="1" smtClean="0">
                            <a:latin typeface="Georgia" pitchFamily="18" charset="0"/>
                          </a:endParaRPr>
                        </a:p>
                      </a:txBody>
                      <a:useSpRect/>
                    </a:txSp>
                  </a:sp>
                  <a:sp>
                    <a:nvSpPr>
                      <a:cNvPr id="29" name="TextBox 28"/>
                      <a:cNvSpPr txBox="1"/>
                    </a:nvSpPr>
                    <a:spPr>
                      <a:xfrm>
                        <a:off x="2362200" y="6019800"/>
                        <a:ext cx="4572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0 %</a:t>
                          </a:r>
                          <a:endParaRPr lang="nl-NL" sz="1100" dirty="0" err="1" smtClean="0">
                            <a:solidFill>
                              <a:srgbClr val="00B0F0"/>
                            </a:solidFill>
                            <a:latin typeface="Georgia" pitchFamily="18" charset="0"/>
                          </a:endParaRPr>
                        </a:p>
                      </a:txBody>
                      <a:useSpRect/>
                    </a:txSp>
                  </a:sp>
                  <a:sp>
                    <a:nvSpPr>
                      <a:cNvPr id="30" name="TextBox 29"/>
                      <a:cNvSpPr txBox="1"/>
                    </a:nvSpPr>
                    <a:spPr>
                      <a:xfrm>
                        <a:off x="6858000" y="6096000"/>
                        <a:ext cx="3810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100%</a:t>
                          </a:r>
                          <a:endParaRPr lang="nl-NL" sz="1100" dirty="0" err="1" smtClean="0">
                            <a:solidFill>
                              <a:srgbClr val="00B0F0"/>
                            </a:solidFill>
                            <a:latin typeface="Georgia" pitchFamily="18" charset="0"/>
                          </a:endParaRPr>
                        </a:p>
                      </a:txBody>
                      <a:useSpRect/>
                    </a:txSp>
                  </a:sp>
                  <a:sp>
                    <a:nvSpPr>
                      <a:cNvPr id="31" name="TextBox 30"/>
                      <a:cNvSpPr txBox="1"/>
                    </a:nvSpPr>
                    <a:spPr>
                      <a:xfrm>
                        <a:off x="1905000" y="5715000"/>
                        <a:ext cx="457200" cy="3048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100%</a:t>
                          </a:r>
                          <a:endParaRPr lang="nl-NL" sz="1100" dirty="0" err="1" smtClean="0">
                            <a:solidFill>
                              <a:srgbClr val="00B0F0"/>
                            </a:solidFill>
                            <a:latin typeface="Georgia" pitchFamily="18" charset="0"/>
                          </a:endParaRPr>
                        </a:p>
                      </a:txBody>
                      <a:useSpRect/>
                    </a:txSp>
                  </a:sp>
                  <a:sp>
                    <a:nvSpPr>
                      <a:cNvPr id="35" name="TextBox 34"/>
                      <a:cNvSpPr txBox="1"/>
                    </a:nvSpPr>
                    <a:spPr>
                      <a:xfrm>
                        <a:off x="1905000" y="1371600"/>
                        <a:ext cx="4572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0 %</a:t>
                          </a:r>
                          <a:endParaRPr lang="nl-NL" sz="1100" dirty="0" err="1" smtClean="0">
                            <a:solidFill>
                              <a:srgbClr val="00B0F0"/>
                            </a:solidFill>
                            <a:latin typeface="Georgia" pitchFamily="18" charset="0"/>
                          </a:endParaRPr>
                        </a:p>
                      </a:txBody>
                      <a:useSpRect/>
                    </a:txSp>
                  </a:sp>
                  <a:sp>
                    <a:nvSpPr>
                      <a:cNvPr id="40" name="TextBox 39"/>
                      <a:cNvSpPr txBox="1"/>
                    </a:nvSpPr>
                    <a:spPr>
                      <a:xfrm>
                        <a:off x="4876800" y="6019800"/>
                        <a:ext cx="4572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50%</a:t>
                          </a:r>
                          <a:endParaRPr lang="nl-NL" sz="1100" dirty="0" err="1" smtClean="0">
                            <a:solidFill>
                              <a:srgbClr val="00B0F0"/>
                            </a:solidFill>
                            <a:latin typeface="Georgia" pitchFamily="18" charset="0"/>
                          </a:endParaRPr>
                        </a:p>
                      </a:txBody>
                      <a:useSpRect/>
                    </a:txSp>
                  </a:sp>
                  <a:sp>
                    <a:nvSpPr>
                      <a:cNvPr id="42" name="TextBox 41"/>
                      <a:cNvSpPr txBox="1"/>
                    </a:nvSpPr>
                    <a:spPr>
                      <a:xfrm>
                        <a:off x="1905000" y="3352800"/>
                        <a:ext cx="3048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50%</a:t>
                          </a:r>
                          <a:endParaRPr lang="nl-NL" sz="1100" dirty="0" err="1" smtClean="0">
                            <a:solidFill>
                              <a:srgbClr val="00B0F0"/>
                            </a:solidFill>
                            <a:latin typeface="Georgia" pitchFamily="18" charset="0"/>
                          </a:endParaRPr>
                        </a:p>
                      </a:txBody>
                      <a:useSpRect/>
                    </a:txSp>
                  </a:sp>
                  <a:sp>
                    <a:nvSpPr>
                      <a:cNvPr id="60" name="TextBox 59"/>
                      <a:cNvSpPr txBox="1"/>
                    </a:nvSpPr>
                    <a:spPr>
                      <a:xfrm>
                        <a:off x="4419600" y="3048000"/>
                        <a:ext cx="914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Chemical</a:t>
                          </a:r>
                          <a:endParaRPr lang="nl-NL" sz="1100" dirty="0" err="1" smtClean="0">
                            <a:latin typeface="Georgia" pitchFamily="18" charset="0"/>
                          </a:endParaRPr>
                        </a:p>
                      </a:txBody>
                      <a:useSpRect/>
                    </a:txSp>
                  </a:sp>
                  <a:sp>
                    <a:nvSpPr>
                      <a:cNvPr id="61" name="TextBox 60"/>
                      <a:cNvSpPr txBox="1"/>
                    </a:nvSpPr>
                    <a:spPr>
                      <a:xfrm>
                        <a:off x="4343400" y="4648200"/>
                        <a:ext cx="914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Renewable Energy</a:t>
                          </a:r>
                          <a:endParaRPr lang="nl-NL" sz="1100" dirty="0" err="1" smtClean="0">
                            <a:latin typeface="Georgia" pitchFamily="18" charset="0"/>
                          </a:endParaRPr>
                        </a:p>
                      </a:txBody>
                      <a:useSpRect/>
                    </a:txSp>
                  </a:sp>
                  <a:sp>
                    <a:nvSpPr>
                      <a:cNvPr id="62" name="TextBox 61"/>
                      <a:cNvSpPr txBox="1"/>
                    </a:nvSpPr>
                    <a:spPr>
                      <a:xfrm>
                        <a:off x="5943600" y="6019800"/>
                        <a:ext cx="3810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75%</a:t>
                          </a:r>
                          <a:endParaRPr lang="nl-NL" sz="1100" dirty="0" err="1" smtClean="0">
                            <a:solidFill>
                              <a:srgbClr val="00B0F0"/>
                            </a:solidFill>
                            <a:latin typeface="Georgia" pitchFamily="18" charset="0"/>
                          </a:endParaRPr>
                        </a:p>
                      </a:txBody>
                      <a:useSpRect/>
                    </a:txSp>
                  </a:sp>
                  <a:sp>
                    <a:nvSpPr>
                      <a:cNvPr id="63" name="TextBox 62"/>
                      <a:cNvSpPr txBox="1"/>
                    </a:nvSpPr>
                    <a:spPr>
                      <a:xfrm>
                        <a:off x="1905000" y="4572000"/>
                        <a:ext cx="3810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75%</a:t>
                          </a:r>
                          <a:endParaRPr lang="nl-NL" sz="1100" dirty="0" err="1" smtClean="0">
                            <a:solidFill>
                              <a:srgbClr val="00B0F0"/>
                            </a:solidFill>
                            <a:latin typeface="Georgia" pitchFamily="18" charset="0"/>
                          </a:endParaRPr>
                        </a:p>
                      </a:txBody>
                      <a:useSpRect/>
                    </a:txSp>
                  </a:sp>
                  <a:sp>
                    <a:nvSpPr>
                      <a:cNvPr id="64" name="TextBox 63"/>
                      <a:cNvSpPr txBox="1"/>
                    </a:nvSpPr>
                    <a:spPr>
                      <a:xfrm>
                        <a:off x="1828800" y="2362200"/>
                        <a:ext cx="3810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25%</a:t>
                          </a:r>
                          <a:endParaRPr lang="nl-NL" sz="1100" dirty="0" err="1" smtClean="0">
                            <a:solidFill>
                              <a:srgbClr val="00B0F0"/>
                            </a:solidFill>
                            <a:latin typeface="Georgia" pitchFamily="18" charset="0"/>
                          </a:endParaRPr>
                        </a:p>
                      </a:txBody>
                      <a:useSpRect/>
                    </a:txSp>
                  </a:sp>
                  <a:sp>
                    <a:nvSpPr>
                      <a:cNvPr id="36" name="TextBox 35"/>
                      <a:cNvSpPr txBox="1"/>
                    </a:nvSpPr>
                    <a:spPr>
                      <a:xfrm>
                        <a:off x="3581400" y="6019800"/>
                        <a:ext cx="3810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solidFill>
                                <a:srgbClr val="00B0F0"/>
                              </a:solidFill>
                              <a:latin typeface="Georgia" pitchFamily="18" charset="0"/>
                            </a:rPr>
                            <a:t>25%</a:t>
                          </a:r>
                          <a:endParaRPr lang="nl-NL" sz="1100" dirty="0" err="1" smtClean="0">
                            <a:solidFill>
                              <a:srgbClr val="00B0F0"/>
                            </a:solidFill>
                            <a:latin typeface="Georgia" pitchFamily="18" charset="0"/>
                          </a:endParaRPr>
                        </a:p>
                      </a:txBody>
                      <a:useSpRect/>
                    </a:txSp>
                  </a:sp>
                  <a:sp>
                    <a:nvSpPr>
                      <a:cNvPr id="44" name="Rectangle 43"/>
                      <a:cNvSpPr/>
                    </a:nvSpPr>
                    <a:spPr bwMode="ltGray">
                      <a:xfrm>
                        <a:off x="3962400" y="38100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tangle 46"/>
                      <a:cNvSpPr/>
                    </a:nvSpPr>
                    <a:spPr bwMode="ltGray">
                      <a:xfrm>
                        <a:off x="5105400" y="30480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000000"/>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bwMode="ltGray">
                      <a:xfrm>
                        <a:off x="5562600" y="46482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TextBox 57"/>
                      <a:cNvSpPr txBox="1"/>
                    </a:nvSpPr>
                    <a:spPr>
                      <a:xfrm>
                        <a:off x="5943600" y="4191000"/>
                        <a:ext cx="914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Infrastructure</a:t>
                          </a:r>
                          <a:endParaRPr lang="nl-NL" sz="1100" dirty="0" err="1" smtClean="0">
                            <a:latin typeface="Georgia" pitchFamily="18" charset="0"/>
                          </a:endParaRPr>
                        </a:p>
                      </a:txBody>
                      <a:useSpRect/>
                    </a:txSp>
                  </a:sp>
                  <a:sp>
                    <a:nvSpPr>
                      <a:cNvPr id="65" name="TextBox 64"/>
                      <a:cNvSpPr txBox="1"/>
                    </a:nvSpPr>
                    <a:spPr>
                      <a:xfrm>
                        <a:off x="5867400" y="3429000"/>
                        <a:ext cx="914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100" dirty="0" smtClean="0">
                              <a:latin typeface="Georgia" pitchFamily="18" charset="0"/>
                            </a:rPr>
                            <a:t>Energy &amp; </a:t>
                          </a:r>
                          <a:br>
                            <a:rPr lang="en-US" sz="1100" dirty="0" smtClean="0">
                              <a:latin typeface="Georgia" pitchFamily="18" charset="0"/>
                            </a:rPr>
                          </a:br>
                          <a:r>
                            <a:rPr lang="en-US" sz="1100" dirty="0" smtClean="0">
                              <a:latin typeface="Georgia" pitchFamily="18" charset="0"/>
                            </a:rPr>
                            <a:t>Utilities</a:t>
                          </a:r>
                          <a:endParaRPr lang="nl-NL" sz="1100" dirty="0" err="1" smtClean="0">
                            <a:latin typeface="Georgia" pitchFamily="18" charset="0"/>
                          </a:endParaRPr>
                        </a:p>
                      </a:txBody>
                      <a:useSpRect/>
                    </a:txSp>
                  </a:sp>
                  <a:cxnSp>
                    <a:nvCxnSpPr>
                      <a:cNvPr id="70" name="Straight Connector 69"/>
                      <a:cNvCxnSpPr/>
                    </a:nvCxnSpPr>
                    <a:spPr>
                      <a:xfrm>
                        <a:off x="3962400" y="1371600"/>
                        <a:ext cx="76200" cy="4495800"/>
                      </a:xfrm>
                      <a:prstGeom prst="line">
                        <a:avLst/>
                      </a:prstGeom>
                      <a:noFill/>
                      <a:ln w="9525" cap="flat" cmpd="sng" algn="ctr">
                        <a:solidFill>
                          <a:srgbClr val="DC6900">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a:off x="5867400" y="1371600"/>
                        <a:ext cx="0" cy="4495800"/>
                      </a:xfrm>
                      <a:prstGeom prst="line">
                        <a:avLst/>
                      </a:prstGeom>
                      <a:noFill/>
                      <a:ln w="9525" cap="flat" cmpd="sng" algn="ctr">
                        <a:solidFill>
                          <a:srgbClr val="DC6900">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a:off x="2362200" y="2819400"/>
                        <a:ext cx="5181600" cy="0"/>
                      </a:xfrm>
                      <a:prstGeom prst="line">
                        <a:avLst/>
                      </a:prstGeom>
                      <a:noFill/>
                      <a:ln w="9525" cap="flat" cmpd="sng" algn="ctr">
                        <a:solidFill>
                          <a:srgbClr val="DC6900">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a:off x="2362200" y="4343400"/>
                        <a:ext cx="5181600" cy="0"/>
                      </a:xfrm>
                      <a:prstGeom prst="line">
                        <a:avLst/>
                      </a:prstGeom>
                      <a:noFill/>
                      <a:ln w="9525" cap="flat" cmpd="sng" algn="ctr">
                        <a:solidFill>
                          <a:srgbClr val="DC6900">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80" name="Oval 79"/>
                      <a:cNvSpPr/>
                    </a:nvSpPr>
                    <a:spPr bwMode="ltGray">
                      <a:xfrm>
                        <a:off x="5638800" y="48768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1" name="Oval 80"/>
                      <a:cNvSpPr/>
                    </a:nvSpPr>
                    <a:spPr bwMode="ltGray">
                      <a:xfrm>
                        <a:off x="5943600" y="51054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2" name="Oval 81"/>
                      <a:cNvSpPr/>
                    </a:nvSpPr>
                    <a:spPr bwMode="ltGray">
                      <a:xfrm>
                        <a:off x="5715000" y="41910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3" name="Oval 82"/>
                      <a:cNvSpPr/>
                    </a:nvSpPr>
                    <a:spPr bwMode="ltGray">
                      <a:xfrm>
                        <a:off x="5638800" y="35052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4" name="Oval 83"/>
                      <a:cNvSpPr/>
                    </a:nvSpPr>
                    <a:spPr bwMode="ltGray">
                      <a:xfrm>
                        <a:off x="6705600" y="30480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5" name="Oval 84"/>
                      <a:cNvSpPr/>
                    </a:nvSpPr>
                    <a:spPr bwMode="ltGray">
                      <a:xfrm>
                        <a:off x="4800600" y="38100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6" name="Oval 85"/>
                      <a:cNvSpPr/>
                    </a:nvSpPr>
                    <a:spPr bwMode="ltGray">
                      <a:xfrm>
                        <a:off x="5638800" y="46482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8" name="Straight Arrow Connector 87"/>
                      <a:cNvCxnSpPr>
                        <a:stCxn id="47" idx="3"/>
                      </a:cNvCxnSpPr>
                    </a:nvCxnSpPr>
                    <a:spPr>
                      <a:xfrm>
                        <a:off x="5257800" y="3124200"/>
                        <a:ext cx="13716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cxnSp>
                    <a:nvCxnSpPr>
                      <a:cNvPr id="89" name="Straight Arrow Connector 88"/>
                      <a:cNvCxnSpPr/>
                    </a:nvCxnSpPr>
                    <a:spPr>
                      <a:xfrm>
                        <a:off x="5257800" y="3581400"/>
                        <a:ext cx="3048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nvCxnSpPr>
                    <a:spPr>
                      <a:xfrm>
                        <a:off x="5486400" y="4267200"/>
                        <a:ext cx="2286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nvCxnSpPr>
                    <a:spPr>
                      <a:xfrm>
                        <a:off x="5638800" y="4267200"/>
                        <a:ext cx="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cxnSp>
                    <a:nvCxnSpPr>
                      <a:cNvPr id="93" name="Straight Arrow Connector 92"/>
                      <a:cNvCxnSpPr>
                        <a:stCxn id="44" idx="3"/>
                      </a:cNvCxnSpPr>
                    </a:nvCxnSpPr>
                    <a:spPr>
                      <a:xfrm>
                        <a:off x="4114800" y="3886200"/>
                        <a:ext cx="6096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cxnSp>
                    <a:nvCxnSpPr>
                      <a:cNvPr id="94" name="Straight Arrow Connector 93"/>
                      <a:cNvCxnSpPr/>
                    </a:nvCxnSpPr>
                    <a:spPr>
                      <a:xfrm>
                        <a:off x="5181600" y="5181600"/>
                        <a:ext cx="6858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sp>
                    <a:nvSpPr>
                      <a:cNvPr id="106" name="Rectangle 105"/>
                      <a:cNvSpPr/>
                    </a:nvSpPr>
                    <a:spPr bwMode="ltGray">
                      <a:xfrm>
                        <a:off x="533400" y="22860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TextBox 106"/>
                      <a:cNvSpPr txBox="1"/>
                    </a:nvSpPr>
                    <a:spPr>
                      <a:xfrm>
                        <a:off x="762000" y="2286000"/>
                        <a:ext cx="533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200" dirty="0" smtClean="0">
                              <a:latin typeface="Georgia" pitchFamily="18" charset="0"/>
                            </a:rPr>
                            <a:t>2011-Global</a:t>
                          </a:r>
                          <a:endParaRPr lang="nl-NL" sz="1200" dirty="0" err="1" smtClean="0">
                            <a:latin typeface="Georgia" pitchFamily="18" charset="0"/>
                          </a:endParaRPr>
                        </a:p>
                      </a:txBody>
                      <a:useSpRect/>
                    </a:txSp>
                  </a:sp>
                  <a:sp>
                    <a:nvSpPr>
                      <a:cNvPr id="108" name="Oval 107"/>
                      <a:cNvSpPr/>
                    </a:nvSpPr>
                    <a:spPr bwMode="ltGray">
                      <a:xfrm>
                        <a:off x="533400" y="2590800"/>
                        <a:ext cx="152400" cy="152400"/>
                      </a:xfrm>
                      <a:prstGeom prst="ellipse">
                        <a:avLst/>
                      </a:prstGeom>
                      <a:solidFill>
                        <a:srgbClr val="00B0F0"/>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09" name="TextBox 108"/>
                      <a:cNvSpPr txBox="1"/>
                    </a:nvSpPr>
                    <a:spPr>
                      <a:xfrm>
                        <a:off x="762000" y="2567940"/>
                        <a:ext cx="533400" cy="228600"/>
                      </a:xfrm>
                      <a:prstGeom prst="rect">
                        <a:avLst/>
                      </a:prstGeom>
                      <a:noFill/>
                    </a:spPr>
                    <a:txSp>
                      <a:txBody>
                        <a:bodyPr wrap="none" lIns="0" tIns="0" rIns="0" bIns="0" rtlCol="0">
                          <a:noAutofit/>
                        </a:bodyPr>
                        <a:lstStyle>
                          <a:defPPr>
                            <a:defRPr lang="en-U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a:pPr indent="-274320">
                            <a:spcAft>
                              <a:spcPts val="900"/>
                            </a:spcAft>
                          </a:pPr>
                          <a:r>
                            <a:rPr lang="en-US" sz="1200" dirty="0" smtClean="0">
                              <a:latin typeface="Georgia" pitchFamily="18" charset="0"/>
                            </a:rPr>
                            <a:t>2016-Global</a:t>
                          </a:r>
                          <a:endParaRPr lang="nl-NL" sz="1200" dirty="0" err="1" smtClean="0">
                            <a:latin typeface="Georgia" pitchFamily="18" charset="0"/>
                          </a:endParaRPr>
                        </a:p>
                      </a:txBody>
                      <a:useSpRect/>
                    </a:txSp>
                  </a:sp>
                  <a:sp>
                    <a:nvSpPr>
                      <a:cNvPr id="54" name="Rectangle 53"/>
                      <a:cNvSpPr/>
                    </a:nvSpPr>
                    <a:spPr bwMode="ltGray">
                      <a:xfrm>
                        <a:off x="5105400" y="51054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1" name="Straight Arrow Connector 90"/>
                      <a:cNvCxnSpPr>
                        <a:stCxn id="49" idx="3"/>
                        <a:endCxn id="80" idx="6"/>
                      </a:cNvCxnSpPr>
                    </a:nvCxnSpPr>
                    <a:spPr>
                      <a:xfrm>
                        <a:off x="5486400" y="4953000"/>
                        <a:ext cx="304800" cy="0"/>
                      </a:xfrm>
                      <a:prstGeom prst="straightConnector1">
                        <a:avLst/>
                      </a:prstGeom>
                      <a:noFill/>
                      <a:ln w="9525" cap="flat" cmpd="sng" algn="ctr">
                        <a:solidFill>
                          <a:srgbClr val="00B0F0"/>
                        </a:solidFill>
                        <a:prstDash val="solid"/>
                        <a:tailEnd type="arrow" w="lg" len="med"/>
                      </a:ln>
                      <a:effectLst/>
                    </a:spPr>
                    <a:style>
                      <a:lnRef idx="1">
                        <a:schemeClr val="accent1"/>
                      </a:lnRef>
                      <a:fillRef idx="0">
                        <a:schemeClr val="accent1"/>
                      </a:fillRef>
                      <a:effectRef idx="0">
                        <a:schemeClr val="accent1"/>
                      </a:effectRef>
                      <a:fontRef idx="minor">
                        <a:schemeClr val="tx1"/>
                      </a:fontRef>
                    </a:style>
                  </a:cxnSp>
                  <a:sp>
                    <a:nvSpPr>
                      <a:cNvPr id="53" name="Rectangle 52"/>
                      <a:cNvSpPr/>
                    </a:nvSpPr>
                    <a:spPr bwMode="ltGray">
                      <a:xfrm>
                        <a:off x="5486400" y="41910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bwMode="ltGray">
                      <a:xfrm>
                        <a:off x="5334000" y="48768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bwMode="ltGray">
                      <a:xfrm>
                        <a:off x="5181600" y="3505200"/>
                        <a:ext cx="152400" cy="152400"/>
                      </a:xfrm>
                      <a:prstGeom prst="rect">
                        <a:avLst/>
                      </a:prstGeom>
                      <a:solidFill>
                        <a:srgbClr val="0070C0"/>
                      </a:solidFill>
                      <a:ln w="3175" cap="flat" cmpd="sng" algn="ctr">
                        <a:solidFill>
                          <a:srgbClr val="0070C0"/>
                        </a:solidFill>
                        <a:prstDash val="solid"/>
                      </a:ln>
                      <a:effectLst/>
                    </a:spPr>
                    <a:txSp>
                      <a:txBody>
                        <a:bodyPr rtlCol="0" anchor="ctr"/>
                        <a:lstStyle>
                          <a:defPPr>
                            <a:defRPr lang="en-US"/>
                          </a:defPPr>
                          <a:lvl1pPr marL="0" algn="l" defTabSz="914400" rtl="0" eaLnBrk="1" latinLnBrk="0" hangingPunct="1">
                            <a:defRPr sz="1800" kern="1200">
                              <a:solidFill>
                                <a:srgbClr val="FFFFFF"/>
                              </a:solidFill>
                              <a:latin typeface="Arial"/>
                            </a:defRPr>
                          </a:lvl1pPr>
                          <a:lvl2pPr marL="457200" algn="l" defTabSz="914400" rtl="0" eaLnBrk="1" latinLnBrk="0" hangingPunct="1">
                            <a:defRPr sz="1800" kern="1200">
                              <a:solidFill>
                                <a:srgbClr val="FFFFFF"/>
                              </a:solidFill>
                              <a:latin typeface="Arial"/>
                            </a:defRPr>
                          </a:lvl2pPr>
                          <a:lvl3pPr marL="914400" algn="l" defTabSz="914400" rtl="0" eaLnBrk="1" latinLnBrk="0" hangingPunct="1">
                            <a:defRPr sz="1800" kern="1200">
                              <a:solidFill>
                                <a:srgbClr val="FFFFFF"/>
                              </a:solidFill>
                              <a:latin typeface="Arial"/>
                            </a:defRPr>
                          </a:lvl3pPr>
                          <a:lvl4pPr marL="1371600" algn="l" defTabSz="914400" rtl="0" eaLnBrk="1" latinLnBrk="0" hangingPunct="1">
                            <a:defRPr sz="1800" kern="1200">
                              <a:solidFill>
                                <a:srgbClr val="FFFFFF"/>
                              </a:solidFill>
                              <a:latin typeface="Arial"/>
                            </a:defRPr>
                          </a:lvl4pPr>
                          <a:lvl5pPr marL="1828800" algn="l" defTabSz="914400" rtl="0" eaLnBrk="1" latinLnBrk="0" hangingPunct="1">
                            <a:defRPr sz="1800" kern="1200">
                              <a:solidFill>
                                <a:srgbClr val="FFFFFF"/>
                              </a:solidFill>
                              <a:latin typeface="Arial"/>
                            </a:defRPr>
                          </a:lvl5pPr>
                          <a:lvl6pPr marL="2286000" algn="l" defTabSz="914400" rtl="0" eaLnBrk="1" latinLnBrk="0" hangingPunct="1">
                            <a:defRPr sz="1800" kern="1200">
                              <a:solidFill>
                                <a:srgbClr val="FFFFFF"/>
                              </a:solidFill>
                              <a:latin typeface="Arial"/>
                            </a:defRPr>
                          </a:lvl6pPr>
                          <a:lvl7pPr marL="2743200" algn="l" defTabSz="914400" rtl="0" eaLnBrk="1" latinLnBrk="0" hangingPunct="1">
                            <a:defRPr sz="1800" kern="1200">
                              <a:solidFill>
                                <a:srgbClr val="FFFFFF"/>
                              </a:solidFill>
                              <a:latin typeface="Arial"/>
                            </a:defRPr>
                          </a:lvl7pPr>
                          <a:lvl8pPr marL="3200400" algn="l" defTabSz="914400" rtl="0" eaLnBrk="1" latinLnBrk="0" hangingPunct="1">
                            <a:defRPr sz="1800" kern="1200">
                              <a:solidFill>
                                <a:srgbClr val="FFFFFF"/>
                              </a:solidFill>
                              <a:latin typeface="Arial"/>
                            </a:defRPr>
                          </a:lvl8pPr>
                          <a:lvl9pPr marL="3657600" algn="l" defTabSz="914400" rtl="0" eaLnBrk="1" latinLnBrk="0" hangingPunct="1">
                            <a:defRPr sz="1800" kern="1200">
                              <a:solidFill>
                                <a:srgbClr val="FFFFFF"/>
                              </a:solidFill>
                              <a:latin typeface="Arial"/>
                            </a:defRPr>
                          </a:lvl9pPr>
                        </a:lstStyle>
                        <a:p>
                          <a:pPr algn="ctr"/>
                          <a:endParaRPr lang="nl-NL" dirty="0" err="1" smtClean="0">
                            <a:solidFill>
                              <a:srgbClr val="FFFFFF"/>
                            </a:solidFill>
                            <a:latin typeface="Georgia"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pPr>
        <w:autoSpaceDE w:val="0"/>
        <w:autoSpaceDN w:val="0"/>
        <w:adjustRightInd w:val="0"/>
        <w:spacing w:line="240" w:lineRule="auto"/>
        <w:rPr>
          <w:rFonts w:cs="CharterITCCom-Italic"/>
          <w:iCs/>
          <w:lang w:val="en-US"/>
        </w:rPr>
      </w:pPr>
    </w:p>
    <w:p>
      <w:pPr>
        <w:autoSpaceDE w:val="0"/>
        <w:autoSpaceDN w:val="0"/>
        <w:adjustRightInd w:val="0"/>
        <w:spacing w:line="240" w:lineRule="auto"/>
        <w:rPr>
          <w:rFonts w:cs="CharterITCCom-BlackItalic"/>
          <w:iCs/>
          <w:szCs w:val="20"/>
          <w:lang w:val="en-US"/>
        </w:rPr>
      </w:pPr>
      <w:r>
        <w:rPr>
          <w:rFonts w:cs="CharterITCCom-BlackItalic"/>
          <w:iCs/>
          <w:szCs w:val="20"/>
          <w:lang w:val="en-US"/>
        </w:rPr>
        <w:t xml:space="preserve">Elsewhere in the survey, 77% of major manufacturing companies consider minerals and metals scarcity as an important issue for their business, but are concerned that only 39% of their customers do.  </w:t>
      </w:r>
      <w:r>
        <w:rPr>
          <w:rFonts w:cs="Helv"/>
          <w:color w:val="000000"/>
          <w:szCs w:val="20"/>
          <w:lang w:eastAsia="en-GB"/>
        </w:rPr>
        <w:t xml:space="preserve">Chemicals and energy and utilities sectors believe they will be severely impacted until 2016 with the percentage of chemical businesses that expect to be affected by this scarcity will </w:t>
      </w:r>
      <w:r>
        <w:rPr>
          <w:rFonts w:cs="Helv"/>
          <w:b/>
          <w:bCs/>
          <w:color w:val="000000"/>
          <w:szCs w:val="20"/>
          <w:lang w:eastAsia="en-GB"/>
        </w:rPr>
        <w:t xml:space="preserve">TRIPLE </w:t>
      </w:r>
      <w:r>
        <w:rPr>
          <w:rFonts w:cs="Helv"/>
          <w:color w:val="000000"/>
          <w:szCs w:val="20"/>
          <w:lang w:eastAsia="en-GB"/>
        </w:rPr>
        <w:t>over the next five years.</w:t>
      </w:r>
      <w:r>
        <w:rPr>
          <w:rFonts w:cs="CharterITCCom-BlackItalic"/>
          <w:iCs/>
          <w:szCs w:val="20"/>
          <w:lang w:val="en-US"/>
        </w:rPr>
        <w:t xml:space="preserve"> </w:t>
      </w:r>
    </w:p>
    <w:p>
      <w:pPr>
        <w:autoSpaceDE w:val="0"/>
        <w:autoSpaceDN w:val="0"/>
        <w:adjustRightInd w:val="0"/>
        <w:spacing w:line="240" w:lineRule="auto"/>
        <w:rPr>
          <w:rFonts w:cs="CharterITCCom-BlackItalic"/>
          <w:iCs/>
          <w:lang w:val="en-US"/>
        </w:rPr>
      </w:pPr>
    </w:p>
    <w:p>
      <w:pPr>
        <w:autoSpaceDE w:val="0"/>
        <w:autoSpaceDN w:val="0"/>
        <w:adjustRightInd w:val="0"/>
        <w:spacing w:line="240" w:lineRule="auto"/>
        <w:rPr>
          <w:rFonts w:cs="CharterITCCom-BlackItalic"/>
          <w:b/>
          <w:iCs/>
          <w:lang w:val="en-US"/>
        </w:rPr>
      </w:pPr>
      <w:r>
        <w:rPr>
          <w:rFonts w:cs="CharterITCCom-BlackItalic"/>
          <w:b/>
          <w:iCs/>
          <w:lang w:val="en-US"/>
        </w:rPr>
        <w:t>Instability of supply</w:t>
      </w:r>
    </w:p>
    <w:p>
      <w:pPr>
        <w:autoSpaceDE w:val="0"/>
        <w:autoSpaceDN w:val="0"/>
        <w:adjustRightInd w:val="0"/>
        <w:spacing w:line="240" w:lineRule="auto"/>
        <w:rPr>
          <w:rFonts w:cs="CharterITCCom-BlackItalic"/>
          <w:iCs/>
          <w:lang w:val="en-US"/>
        </w:rPr>
      </w:pPr>
    </w:p>
    <w:p>
      <w:pPr>
        <w:autoSpaceDE w:val="0"/>
        <w:autoSpaceDN w:val="0"/>
        <w:adjustRightInd w:val="0"/>
        <w:spacing w:line="240" w:lineRule="auto"/>
        <w:rPr>
          <w:rFonts w:cs="CharterITCCom-Italic"/>
          <w:iCs/>
          <w:lang w:val="en-US"/>
        </w:rPr>
      </w:pPr>
      <w:r>
        <w:rPr>
          <w:rFonts w:cs="CharterITCCom-BlackItalic"/>
          <w:iCs/>
          <w:lang w:val="en-US"/>
        </w:rPr>
        <w:t xml:space="preserve">The risk of scarcity across all sectors is expected to rise significantly, leading to supply instability and potential disruptions in the next five years, but this will also create opportunities for competitive advantage, the report says. </w:t>
      </w:r>
      <w:r>
        <w:rPr>
          <w:rFonts w:cs="CharterITCCom-Italic"/>
          <w:iCs/>
          <w:lang w:val="en-US"/>
        </w:rPr>
        <w:t xml:space="preserve">The survey shows that whilst 80% of automotive respondents are currently worried about reserves running out, only 33% in aviation are, for example. </w:t>
      </w:r>
    </w:p>
    <w:p>
      <w:pPr>
        <w:autoSpaceDE w:val="0"/>
        <w:autoSpaceDN w:val="0"/>
        <w:adjustRightInd w:val="0"/>
        <w:spacing w:line="240" w:lineRule="auto"/>
        <w:rPr>
          <w:rFonts w:cs="CharterITCCom-BlackItalic"/>
          <w:iCs/>
          <w:lang w:val="en-US"/>
        </w:rPr>
      </w:pPr>
    </w:p>
    <w:p>
      <w:pPr>
        <w:autoSpaceDE w:val="0"/>
        <w:autoSpaceDN w:val="0"/>
        <w:adjustRightInd w:val="0"/>
        <w:spacing w:line="240" w:lineRule="auto"/>
        <w:rPr>
          <w:rFonts w:cs="CharterITCCom-Regular"/>
          <w:lang w:val="en-US"/>
        </w:rPr>
      </w:pPr>
      <w:r>
        <w:rPr>
          <w:rFonts w:cs="CharterITCCom-Regular"/>
          <w:lang w:val="en-US"/>
        </w:rPr>
        <w:t>Renewable energy (78%), automotive (64%) and energy &amp; utilities (57%) are all currently experiencing instability of supply. A</w:t>
      </w:r>
      <w:r>
        <w:rPr>
          <w:rFonts w:cs="Tahoma"/>
          <w:color w:val="000000"/>
          <w:lang w:val="en-US"/>
        </w:rPr>
        <w:t xml:space="preserve">viation, high tech and infrastructure sectors are also expecting to experience high rises in supply disruption from now to 2016. </w:t>
      </w:r>
      <w:r>
        <w:rPr>
          <w:rFonts w:cs="CharterITCCom-Regular"/>
          <w:lang w:val="en-US"/>
        </w:rPr>
        <w:t xml:space="preserve">   </w:t>
      </w:r>
    </w:p>
    <w:p>
      <w:pPr>
        <w:autoSpaceDE w:val="0"/>
        <w:autoSpaceDN w:val="0"/>
        <w:adjustRightInd w:val="0"/>
        <w:spacing w:line="240" w:lineRule="auto"/>
        <w:rPr>
          <w:rFonts w:cs="CharterITCCom-Regular"/>
          <w:lang w:val="en-US"/>
        </w:rPr>
      </w:pPr>
    </w:p>
    <w:p>
      <w:pPr>
        <w:autoSpaceDE w:val="0"/>
        <w:autoSpaceDN w:val="0"/>
        <w:adjustRightInd w:val="0"/>
        <w:spacing w:line="240" w:lineRule="auto"/>
        <w:rPr>
          <w:lang w:val="en-US"/>
        </w:rPr>
      </w:pPr>
      <w:r>
        <w:rPr>
          <w:rFonts w:cs="CharterITCCom-Regular"/>
          <w:lang w:val="en-US"/>
        </w:rPr>
        <w:t xml:space="preserve">When asked about other primary concerns around scarcity overall, 84% cited an increase in demand, 78% said it was geopolitics, </w:t>
      </w:r>
      <w:r>
        <w:rPr>
          <w:lang w:val="en-US"/>
        </w:rPr>
        <w:t xml:space="preserve">and 72% said extraction shortage. The report also </w:t>
      </w:r>
      <w:proofErr w:type="gramStart"/>
      <w:r>
        <w:rPr>
          <w:lang w:val="en-US"/>
        </w:rPr>
        <w:t>indicated  that</w:t>
      </w:r>
      <w:proofErr w:type="gramEnd"/>
      <w:r>
        <w:rPr>
          <w:lang w:val="en-US"/>
        </w:rPr>
        <w:t xml:space="preserve"> European companies were better prepared with policies and programmes in place to mitigate risks.</w:t>
      </w:r>
    </w:p>
    <w:p>
      <w:pPr>
        <w:autoSpaceDE w:val="0"/>
        <w:autoSpaceDN w:val="0"/>
        <w:adjustRightInd w:val="0"/>
        <w:spacing w:line="240" w:lineRule="auto"/>
        <w:rPr>
          <w:lang w:val="en-US"/>
        </w:rPr>
      </w:pPr>
    </w:p>
    <w:p>
      <w:pPr>
        <w:autoSpaceDE w:val="0"/>
        <w:autoSpaceDN w:val="0"/>
        <w:adjustRightInd w:val="0"/>
        <w:spacing w:line="240" w:lineRule="auto"/>
        <w:rPr>
          <w:rFonts w:cs="Helv"/>
          <w:bCs/>
          <w:szCs w:val="20"/>
          <w:lang w:eastAsia="en-GB"/>
        </w:rPr>
      </w:pPr>
      <w:r>
        <w:rPr>
          <w:rFonts w:cs="Helv"/>
          <w:bCs/>
          <w:szCs w:val="20"/>
          <w:lang w:eastAsia="en-GB"/>
        </w:rPr>
        <w:t xml:space="preserve">PwC’s global sustainability leader, Malcolm Preston, said: </w:t>
      </w:r>
    </w:p>
    <w:p>
      <w:pPr>
        <w:autoSpaceDE w:val="0"/>
        <w:autoSpaceDN w:val="0"/>
        <w:adjustRightInd w:val="0"/>
        <w:spacing w:line="240" w:lineRule="auto"/>
        <w:rPr>
          <w:rFonts w:cs="Helv"/>
          <w:bCs/>
          <w:szCs w:val="20"/>
          <w:lang w:eastAsia="en-GB"/>
        </w:rPr>
      </w:pPr>
    </w:p>
    <w:p>
      <w:pPr>
        <w:autoSpaceDE w:val="0"/>
        <w:autoSpaceDN w:val="0"/>
        <w:adjustRightInd w:val="0"/>
        <w:spacing w:line="240" w:lineRule="auto"/>
        <w:ind w:left="720"/>
        <w:rPr>
          <w:rFonts w:cs="Helv"/>
          <w:bCs/>
          <w:szCs w:val="20"/>
          <w:lang w:eastAsia="en-GB"/>
        </w:rPr>
      </w:pPr>
      <w:r>
        <w:rPr>
          <w:rFonts w:cs="Helv"/>
          <w:bCs/>
          <w:szCs w:val="20"/>
          <w:lang w:eastAsia="en-GB"/>
        </w:rPr>
        <w:t>“With the need for new business models, a key challenge for business is how to draw the line between collaboration and competitive advantage.  This is where strategic decision making meets sustainability.  Getting this right will define the winners and losers of the future."</w:t>
      </w:r>
    </w:p>
    <w:p>
      <w:pPr>
        <w:autoSpaceDE w:val="0"/>
        <w:autoSpaceDN w:val="0"/>
        <w:adjustRightInd w:val="0"/>
        <w:spacing w:line="240" w:lineRule="auto"/>
        <w:rPr>
          <w:lang w:val="en-US"/>
        </w:rPr>
      </w:pPr>
      <w:r>
        <w:rPr>
          <w:rFonts w:cs="Helv"/>
          <w:b/>
          <w:bCs/>
          <w:color w:val="FF0000"/>
          <w:szCs w:val="20"/>
          <w:lang w:eastAsia="en-GB"/>
        </w:rPr>
        <w:t xml:space="preserve"> </w:t>
      </w:r>
    </w:p>
    <w:p>
      <w:pPr>
        <w:autoSpaceDE w:val="0"/>
        <w:autoSpaceDN w:val="0"/>
        <w:adjustRightInd w:val="0"/>
        <w:spacing w:line="240" w:lineRule="auto"/>
        <w:rPr>
          <w:lang w:val="en-US"/>
        </w:rPr>
      </w:pPr>
      <w:r>
        <w:rPr>
          <w:lang w:val="en-US"/>
        </w:rPr>
        <w:t>A ‘top 10’ checklist for businesses on how to identify and prevent resource scarcity is in the report which also includes advice around creating risk assessments for three main areas, geopolitical, economic and physical.</w:t>
      </w:r>
    </w:p>
    <w:p>
      <w:pPr>
        <w:autoSpaceDE w:val="0"/>
        <w:autoSpaceDN w:val="0"/>
        <w:spacing w:before="100" w:beforeAutospacing="1" w:after="100" w:afterAutospacing="1" w:line="360" w:lineRule="auto"/>
        <w:rPr>
          <w:rFonts w:cs="Georgia"/>
          <w:b/>
          <w:color w:val="000000"/>
          <w:szCs w:val="20"/>
          <w:lang w:eastAsia="en-GB"/>
        </w:rPr>
      </w:pPr>
      <w:r>
        <w:rPr>
          <w:rFonts w:cs="Georgia"/>
          <w:b/>
          <w:color w:val="000000"/>
          <w:szCs w:val="20"/>
          <w:lang w:eastAsia="en-GB"/>
        </w:rPr>
        <w:lastRenderedPageBreak/>
        <w:t>Ends</w:t>
      </w:r>
    </w:p>
    <w:p>
      <w:pPr>
        <w:autoSpaceDE w:val="0"/>
        <w:autoSpaceDN w:val="0"/>
        <w:spacing w:before="100" w:beforeAutospacing="1" w:after="100" w:afterAutospacing="1" w:line="360" w:lineRule="auto"/>
        <w:rPr>
          <w:rFonts w:cs="Georgia"/>
          <w:b/>
          <w:color w:val="000000"/>
          <w:szCs w:val="20"/>
          <w:lang w:eastAsia="en-GB"/>
        </w:rPr>
      </w:pPr>
      <w:r>
        <w:rPr>
          <w:rFonts w:cs="Georgia"/>
          <w:b/>
          <w:color w:val="000000"/>
          <w:szCs w:val="20"/>
          <w:lang w:eastAsia="en-GB"/>
        </w:rPr>
        <w:t>Notes to Editor</w:t>
      </w:r>
    </w:p>
    <w:p>
      <w:pPr>
        <w:pStyle w:val="ListParagraph"/>
        <w:numPr>
          <w:ilvl w:val="0"/>
          <w:numId w:val="24"/>
        </w:numPr>
        <w:autoSpaceDE w:val="0"/>
        <w:autoSpaceDN w:val="0"/>
        <w:spacing w:before="100" w:beforeAutospacing="1" w:after="100" w:afterAutospacing="1" w:line="240" w:lineRule="auto"/>
        <w:ind w:left="714" w:hanging="357"/>
        <w:rPr>
          <w:rFonts w:ascii="Georgia" w:hAnsi="Georgia" w:cs="Helv"/>
          <w:b/>
          <w:szCs w:val="20"/>
        </w:rPr>
      </w:pPr>
      <w:r>
        <w:rPr>
          <w:rFonts w:ascii="Georgia" w:hAnsi="Georgia"/>
          <w:bCs/>
          <w:szCs w:val="20"/>
        </w:rPr>
        <w:t>69 executives from seven different industries, across three continents, Asia Pacific, the Americas and Europe were surveyed. The majority of companies are key players globally, with revenues of over $10 billion.</w:t>
      </w:r>
    </w:p>
    <w:p>
      <w:pPr>
        <w:pStyle w:val="ListParagraph"/>
        <w:numPr>
          <w:ilvl w:val="0"/>
          <w:numId w:val="24"/>
        </w:numPr>
        <w:autoSpaceDE w:val="0"/>
        <w:autoSpaceDN w:val="0"/>
        <w:spacing w:before="100" w:beforeAutospacing="1" w:after="100" w:afterAutospacing="1" w:line="360" w:lineRule="auto"/>
        <w:rPr>
          <w:rFonts w:ascii="Georgia" w:hAnsi="Georgia" w:cs="Helv"/>
          <w:b/>
          <w:szCs w:val="20"/>
        </w:rPr>
      </w:pPr>
      <w:r>
        <w:rPr>
          <w:rFonts w:ascii="Georgia" w:hAnsi="Georgia"/>
          <w:bCs/>
          <w:szCs w:val="20"/>
        </w:rPr>
        <w:t xml:space="preserve">For a copy of the report please visit </w:t>
      </w:r>
      <w:hyperlink r:id="rId8" w:history="1">
        <w:r>
          <w:rPr>
            <w:rStyle w:val="Hyperlink"/>
            <w:rFonts w:ascii="Georgia" w:hAnsi="Georgia"/>
            <w:bCs/>
            <w:szCs w:val="20"/>
          </w:rPr>
          <w:t>www.pwc.com/</w:t>
        </w:r>
        <w:r>
          <w:rPr>
            <w:rStyle w:val="Hyperlink"/>
            <w:rFonts w:ascii="Georgia" w:hAnsi="Georgia"/>
          </w:rPr>
          <w:t>sustainability</w:t>
        </w:r>
      </w:hyperlink>
      <w:r>
        <w:rPr>
          <w:rFonts w:ascii="Georgia" w:hAnsi="Georgia"/>
        </w:rPr>
        <w:t xml:space="preserve"> or download the attachment on the right.</w:t>
      </w:r>
    </w:p>
    <w:p>
      <w:pPr>
        <w:autoSpaceDE w:val="0"/>
        <w:autoSpaceDN w:val="0"/>
        <w:spacing w:before="100" w:beforeAutospacing="1" w:after="360" w:afterAutospacing="1" w:line="320" w:lineRule="atLeast"/>
        <w:rPr>
          <w:rFonts w:cs="Arial"/>
          <w:color w:val="000000"/>
          <w:szCs w:val="20"/>
          <w:lang w:val="en-US"/>
        </w:rPr>
      </w:pPr>
      <w:r>
        <w:rPr>
          <w:b/>
          <w:bCs/>
          <w:color w:val="000000"/>
          <w:szCs w:val="20"/>
        </w:rPr>
        <w:t>A</w:t>
      </w:r>
      <w:r>
        <w:rPr>
          <w:rFonts w:cs="Helv"/>
          <w:b/>
          <w:szCs w:val="20"/>
        </w:rPr>
        <w:t xml:space="preserve">bout PwC </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szCs w:val="20"/>
          <w:lang w:val="en-US" w:eastAsia="en-GB"/>
        </w:rPr>
      </w:pPr>
      <w:r>
        <w:rPr>
          <w:rFonts w:eastAsia="Arial Unicode MS" w:cs="Helv"/>
          <w:color w:val="000000"/>
          <w:szCs w:val="20"/>
          <w:lang w:val="en-US" w:eastAsia="en-GB"/>
        </w:rPr>
        <w:t>PwC firms help organisations and individuals create the value they’re looking for.  We’re a network of firms in 158 countries with close to 169,000 people who are committed to delivering quality in assurance, tax and advisory services.  Tell us what matters to you and find out more by visiting us at www.pwc.com.</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szCs w:val="20"/>
          <w:lang w:val="en-US" w:eastAsia="en-GB"/>
        </w:rPr>
      </w:pPr>
      <w:r>
        <w:rPr>
          <w:rFonts w:eastAsia="Arial Unicode MS" w:cs="Helv"/>
          <w:color w:val="000000"/>
          <w:szCs w:val="20"/>
          <w:lang w:val="en-US" w:eastAsia="en-GB"/>
        </w:rPr>
        <w:t>© 2011 PwC. All rights reserved.</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szCs w:val="20"/>
          <w:lang w:val="en-US" w:eastAsia="en-GB"/>
        </w:rPr>
      </w:pPr>
      <w:r>
        <w:rPr>
          <w:rFonts w:eastAsia="Arial Unicode MS" w:cs="Helv"/>
          <w:color w:val="000000"/>
          <w:szCs w:val="20"/>
          <w:lang w:val="en-US" w:eastAsia="en-GB"/>
        </w:rPr>
        <w:t>PwC refers to the PwC network and/or one or more of its member firms, each of which is a separate legal entity. Please see www.pwc.com/structure for further details.</w:t>
      </w:r>
    </w:p>
    <w:p>
      <w:pPr>
        <w:spacing w:line="240" w:lineRule="auto"/>
        <w:rPr>
          <w:rFonts w:cs="Arial"/>
          <w:bCs/>
          <w:szCs w:val="20"/>
        </w:rPr>
      </w:pPr>
    </w:p>
    <w:p>
      <w:pPr>
        <w:spacing w:line="240" w:lineRule="auto"/>
        <w:rPr>
          <w:rFonts w:cs="Arial"/>
          <w:bCs/>
          <w:szCs w:val="20"/>
        </w:rPr>
      </w:pPr>
    </w:p>
    <w:p>
      <w:pPr>
        <w:spacing w:line="240" w:lineRule="auto"/>
        <w:rPr>
          <w:rFonts w:cs="Arial"/>
          <w:bCs/>
          <w:sz w:val="22"/>
        </w:rPr>
      </w:pPr>
    </w:p>
    <w:p>
      <w:pPr>
        <w:rPr>
          <w:rFonts w:cs="Arial"/>
          <w:bCs/>
        </w:rPr>
      </w:pPr>
    </w:p>
    <w:sectPr>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arterITCCom-Italic">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harterITCCom-BlackItalic">
    <w:panose1 w:val="00000000000000000000"/>
    <w:charset w:val="00"/>
    <w:family w:val="roman"/>
    <w:notTrueType/>
    <w:pitch w:val="default"/>
    <w:sig w:usb0="00000003" w:usb1="00000000" w:usb2="00000000" w:usb3="00000000" w:csb0="00000001" w:csb1="00000000"/>
  </w:font>
  <w:font w:name="CharterITCCom-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Pr>
          <w:noProof/>
        </w:rPr>
        <w:t>2</w:t>
      </w:r>
    </w:fldSimple>
    <w:r>
      <w:t xml:space="preserve"> of </w:t>
    </w:r>
    <w:fldSimple w:instr=" NUMPAGES  \* MERGEFORMAT ">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Pr>
          <w:noProof/>
        </w:rPr>
        <w:t>3</w:t>
      </w:r>
    </w:fldSimple>
    <w:r>
      <w:t xml:space="preserve"> of </w:t>
    </w:r>
    <w:fldSimple w:instr=" NUMPAGES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ddress"/>
    </w:pPr>
    <w:bookmarkStart w:id="0" w:name="FirstPageFooter"/>
    <w:bookmarkEnd w:id="0"/>
    <w:r>
      <w:t>PricewaterhouseCoopers LLP, 1 Embankment Place. London, WC2N 6RH</w:t>
    </w:r>
  </w:p>
  <w:p>
    <w:pPr>
      <w:pStyle w:val="Address"/>
    </w:pPr>
    <w:r>
      <w:t>T: +44 (0)207 213 47 27 , www.ukmediacentre.pwc.com</w: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1C0C88"/>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C3A11"/>
    <w:multiLevelType w:val="hybridMultilevel"/>
    <w:tmpl w:val="DB70F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951695"/>
    <w:multiLevelType w:val="hybridMultilevel"/>
    <w:tmpl w:val="6B729262"/>
    <w:lvl w:ilvl="0" w:tplc="19AE98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474D7"/>
    <w:multiLevelType w:val="hybridMultilevel"/>
    <w:tmpl w:val="6FD2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63CA3"/>
    <w:multiLevelType w:val="hybridMultilevel"/>
    <w:tmpl w:val="C65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73ACB"/>
    <w:multiLevelType w:val="hybridMultilevel"/>
    <w:tmpl w:val="857C5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AE1448"/>
    <w:multiLevelType w:val="hybridMultilevel"/>
    <w:tmpl w:val="A58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69C21424"/>
    <w:multiLevelType w:val="hybridMultilevel"/>
    <w:tmpl w:val="17CA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84E43"/>
    <w:multiLevelType w:val="hybridMultilevel"/>
    <w:tmpl w:val="631CA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018CA"/>
    <w:multiLevelType w:val="hybridMultilevel"/>
    <w:tmpl w:val="756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9"/>
  </w:num>
  <w:num w:numId="5">
    <w:abstractNumId w:val="19"/>
    <w:lvlOverride w:ilvl="0">
      <w:startOverride w:val="1"/>
    </w:lvlOverride>
  </w:num>
  <w:num w:numId="6">
    <w:abstractNumId w:val="5"/>
  </w:num>
  <w:num w:numId="7">
    <w:abstractNumId w:val="11"/>
  </w:num>
  <w:num w:numId="8">
    <w:abstractNumId w:val="12"/>
  </w:num>
  <w:num w:numId="9">
    <w:abstractNumId w:val="10"/>
  </w:num>
  <w:num w:numId="10">
    <w:abstractNumId w:val="1"/>
  </w:num>
  <w:num w:numId="11">
    <w:abstractNumId w:val="3"/>
  </w:num>
  <w:num w:numId="12">
    <w:abstractNumId w:val="9"/>
  </w:num>
  <w:num w:numId="13">
    <w:abstractNumId w:val="7"/>
  </w:num>
  <w:num w:numId="14">
    <w:abstractNumId w:val="18"/>
  </w:num>
  <w:num w:numId="15">
    <w:abstractNumId w:val="13"/>
  </w:num>
  <w:num w:numId="16">
    <w:abstractNumId w:val="17"/>
  </w:num>
  <w:num w:numId="17">
    <w:abstractNumId w:val="22"/>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4"/>
  </w:num>
  <w:num w:numId="20">
    <w:abstractNumId w:val="16"/>
  </w:num>
  <w:num w:numId="21">
    <w:abstractNumId w:val="15"/>
  </w:num>
  <w:num w:numId="22">
    <w:abstractNumId w:val="20"/>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99"/>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5991391">
      <w:bodyDiv w:val="1"/>
      <w:marLeft w:val="0"/>
      <w:marRight w:val="0"/>
      <w:marTop w:val="0"/>
      <w:marBottom w:val="0"/>
      <w:divBdr>
        <w:top w:val="none" w:sz="0" w:space="0" w:color="auto"/>
        <w:left w:val="none" w:sz="0" w:space="0" w:color="auto"/>
        <w:bottom w:val="none" w:sz="0" w:space="0" w:color="auto"/>
        <w:right w:val="none" w:sz="0" w:space="0" w:color="auto"/>
      </w:divBdr>
      <w:divsChild>
        <w:div w:id="1284578607">
          <w:marLeft w:val="0"/>
          <w:marRight w:val="0"/>
          <w:marTop w:val="0"/>
          <w:marBottom w:val="0"/>
          <w:divBdr>
            <w:top w:val="none" w:sz="0" w:space="0" w:color="auto"/>
            <w:left w:val="none" w:sz="0" w:space="0" w:color="auto"/>
            <w:bottom w:val="none" w:sz="0" w:space="0" w:color="auto"/>
            <w:right w:val="none" w:sz="0" w:space="0" w:color="auto"/>
          </w:divBdr>
          <w:divsChild>
            <w:div w:id="2060788093">
              <w:marLeft w:val="0"/>
              <w:marRight w:val="0"/>
              <w:marTop w:val="0"/>
              <w:marBottom w:val="0"/>
              <w:divBdr>
                <w:top w:val="none" w:sz="0" w:space="0" w:color="auto"/>
                <w:left w:val="none" w:sz="0" w:space="0" w:color="auto"/>
                <w:bottom w:val="none" w:sz="0" w:space="0" w:color="auto"/>
                <w:right w:val="none" w:sz="0" w:space="0" w:color="auto"/>
              </w:divBdr>
              <w:divsChild>
                <w:div w:id="6362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362595">
      <w:bodyDiv w:val="1"/>
      <w:marLeft w:val="0"/>
      <w:marRight w:val="0"/>
      <w:marTop w:val="0"/>
      <w:marBottom w:val="0"/>
      <w:divBdr>
        <w:top w:val="none" w:sz="0" w:space="0" w:color="auto"/>
        <w:left w:val="none" w:sz="0" w:space="0" w:color="auto"/>
        <w:bottom w:val="none" w:sz="0" w:space="0" w:color="auto"/>
        <w:right w:val="none" w:sz="0" w:space="0" w:color="auto"/>
      </w:divBdr>
      <w:divsChild>
        <w:div w:id="156966002">
          <w:marLeft w:val="0"/>
          <w:marRight w:val="0"/>
          <w:marTop w:val="0"/>
          <w:marBottom w:val="0"/>
          <w:divBdr>
            <w:top w:val="none" w:sz="0" w:space="0" w:color="auto"/>
            <w:left w:val="none" w:sz="0" w:space="0" w:color="auto"/>
            <w:bottom w:val="none" w:sz="0" w:space="0" w:color="auto"/>
            <w:right w:val="none" w:sz="0" w:space="0" w:color="auto"/>
          </w:divBdr>
          <w:divsChild>
            <w:div w:id="910385055">
              <w:marLeft w:val="0"/>
              <w:marRight w:val="0"/>
              <w:marTop w:val="0"/>
              <w:marBottom w:val="0"/>
              <w:divBdr>
                <w:top w:val="none" w:sz="0" w:space="0" w:color="auto"/>
                <w:left w:val="none" w:sz="0" w:space="0" w:color="auto"/>
                <w:bottom w:val="none" w:sz="0" w:space="0" w:color="auto"/>
                <w:right w:val="none" w:sz="0" w:space="0" w:color="auto"/>
              </w:divBdr>
              <w:divsChild>
                <w:div w:id="2063868605">
                  <w:marLeft w:val="0"/>
                  <w:marRight w:val="0"/>
                  <w:marTop w:val="0"/>
                  <w:marBottom w:val="0"/>
                  <w:divBdr>
                    <w:top w:val="none" w:sz="0" w:space="0" w:color="auto"/>
                    <w:left w:val="none" w:sz="0" w:space="0" w:color="auto"/>
                    <w:bottom w:val="none" w:sz="0" w:space="0" w:color="auto"/>
                    <w:right w:val="none" w:sz="0" w:space="0" w:color="auto"/>
                  </w:divBdr>
                  <w:divsChild>
                    <w:div w:id="1565070808">
                      <w:marLeft w:val="0"/>
                      <w:marRight w:val="167"/>
                      <w:marTop w:val="0"/>
                      <w:marBottom w:val="0"/>
                      <w:divBdr>
                        <w:top w:val="none" w:sz="0" w:space="0" w:color="auto"/>
                        <w:left w:val="none" w:sz="0" w:space="0" w:color="auto"/>
                        <w:bottom w:val="none" w:sz="0" w:space="0" w:color="auto"/>
                        <w:right w:val="none" w:sz="0" w:space="0" w:color="auto"/>
                      </w:divBdr>
                      <w:divsChild>
                        <w:div w:id="51391063">
                          <w:marLeft w:val="0"/>
                          <w:marRight w:val="0"/>
                          <w:marTop w:val="0"/>
                          <w:marBottom w:val="0"/>
                          <w:divBdr>
                            <w:top w:val="none" w:sz="0" w:space="0" w:color="auto"/>
                            <w:left w:val="none" w:sz="0" w:space="0" w:color="auto"/>
                            <w:bottom w:val="none" w:sz="0" w:space="0" w:color="auto"/>
                            <w:right w:val="none" w:sz="0" w:space="0" w:color="auto"/>
                          </w:divBdr>
                          <w:divsChild>
                            <w:div w:id="20390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sustainabi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D407-33F5-4ED3-A492-AA04C4B2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5370</CharactersWithSpaces>
  <SharedDoc>false</SharedDoc>
  <HLinks>
    <vt:vector size="6" baseType="variant">
      <vt:variant>
        <vt:i4>3407872</vt:i4>
      </vt:variant>
      <vt:variant>
        <vt:i4>0</vt:i4>
      </vt:variant>
      <vt:variant>
        <vt:i4>0</vt:i4>
      </vt:variant>
      <vt:variant>
        <vt:i4>5</vt:i4>
      </vt:variant>
      <vt:variant>
        <vt:lpwstr>mailto:derek.nash@uk.pwc.com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Hollingdale</dc:creator>
  <cp:keywords/>
  <cp:lastModifiedBy>897136</cp:lastModifiedBy>
  <cp:revision>2</cp:revision>
  <cp:lastPrinted>2011-12-05T10:30:00Z</cp:lastPrinted>
  <dcterms:created xsi:type="dcterms:W3CDTF">2011-12-05T13:31:00Z</dcterms:created>
  <dcterms:modified xsi:type="dcterms:W3CDTF">2011-12-05T13:31:00Z</dcterms:modified>
</cp:coreProperties>
</file>