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760"/>
      </w:tblGrid>
      <w:tr w:rsidR="00D05D2A" w:rsidTr="00D05D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685925" cy="571500"/>
                  <wp:effectExtent l="0" t="0" r="9525" b="0"/>
                  <wp:docPr id="1" name="Picture 1" descr="http://secure.equitystory.com/membersarea/companies/Linde/pic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cure.equitystory.com/membersarea/companies/Linde/pic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D2A" w:rsidRDefault="00D05D2A" w:rsidP="00D05D2A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05D2A" w:rsidTr="00D05D2A">
        <w:trPr>
          <w:tblCellSpacing w:w="0" w:type="dxa"/>
        </w:trPr>
        <w:tc>
          <w:tcPr>
            <w:tcW w:w="0" w:type="auto"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AG / Key word(s): Incoming Orders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AG: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awarded engineering contract for LNG plant in Canada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>11.09.2014 / 17:00</w:t>
            </w:r>
          </w:p>
          <w:p w:rsidR="00D05D2A" w:rsidRDefault="00D05D2A" w:rsidP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pict>
                <v:rect id="_x0000_i1025" style="width:562.5pt;height:.75pt" o:hrpct="0" o:hrstd="t" o:hr="t" fillcolor="#a0a0a0" stroked="f"/>
              </w:pic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awarded engineering contract for LNG plant in Canada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Munich, 11 September 2014 - Technology company 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Group has been awarded a contract to provide engineering and procurement services for a 2.1 million tonnes per annum (MTPA) natural gas liquefaction plant for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Limited, a subsidiary of energy resources development company Pacific Oil &amp; Gas (PO&amp;G). 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Project will be located in the District of Squamish near Vancouver, British Columbia, Canada.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"The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Project is of high strategic value for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as it bridges the gap in the LNG industry between traditional mid-scale and large-scale LNG trains," said Professor Dr Aldo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Belloni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member of the Executive Board of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AG. "The Project will be the second largest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-engineered LNG plant, surpassed in capacity only by the LNG facility on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Melkøya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Island near Hammerfest, Norway."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The new plant will use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Linde's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proprietary LIMUM(R) technology, a multi-stage mixed refrigerant process which achieves outstanding energy efficiency. Based on the current project schedule, and subject to regulatory approvals, 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Project will begin construction in 2015, and be operational by 2017.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"Awarding this engineering contract to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marks an important milestone for 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Project," said Alex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Bridgen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Project Director, </w:t>
            </w:r>
            <w:proofErr w:type="spellStart"/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Project. "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is on track to become one of the first LNG export facilities in operation on the west coast of Canada, and partnering with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allows us to bring safe, clean and reliable LNG technology to British Columbia."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Engineering will be responsible for the extended basic engineering as well as the procurement and supply of critical equipment items including the coil-wound heat exchangers. Based on an "all-electric-drive" using hydro power only, the plant's environmental footprint with regard to Greenhouse Gas Emissions (GHG) has been minimized.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About 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Group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In the 2013 financial year, 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Group generated revenue of EUR 16.655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bn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making it the largest gases and engineering company in the world with approximately 63,500 employees working in more than 100 countries worldwide. The strategy of 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Group is geared towards long-term profitable growth and focuses on the expansion of its international business with forward-looking products and services.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acts responsibly towards its shareholders, business partners, employees, society and the environment - in every one of its business areas, regions and locations across the globe. The company is committed to technologies and products that unite the goals of customer value and sustainable development.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Under the "Clean Technology by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" label, the company offers a wide range of products and technologies that help to render renewable energy sources financially viable, and significantly slow down the depletion of fossil resources or reduce the level of CO</w:t>
            </w:r>
            <w:r>
              <w:rPr>
                <w:rFonts w:ascii="Verdana" w:hAnsi="Verdana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emitted. This ranges from specialty gases for solar module manufacturing, industrial-scale CO</w:t>
            </w:r>
            <w:r>
              <w:rPr>
                <w:rFonts w:ascii="Verdana" w:hAnsi="Verdana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separation and application technologies to alternative fuels and energy carriers such as liquefied natural gas (LNG) and hydrogen.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For more information go to </w:t>
            </w:r>
            <w:hyperlink r:id="rId5" w:tgtFrame="_blank" w:history="1">
              <w:r>
                <w:rPr>
                  <w:rStyle w:val="Hyperlink"/>
                  <w:rFonts w:ascii="Verdana" w:hAnsi="Verdana" w:cs="Arial"/>
                  <w:sz w:val="18"/>
                  <w:szCs w:val="18"/>
                </w:rPr>
                <w:t>http://www.linde.com/cleantechnology</w:t>
              </w:r>
            </w:hyperlink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About 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Project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Project is a proposed natural gas liquefaction and export facility located at the former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pulp mill site, about seven kilometres southwest of Squamish, British Columbia, Canada, and is licenced to export approximately 2.1 million tonnes of LNG annually for a period of 25 years.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Project is owned by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Limited (formerly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Natural Gas Limited), a privately held Canadian company with headquarters in Vancouver, British Columbia.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Woodfibre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LNG Limited is a subsidiary of Pacific Oil &amp; Gas Limited, an energy company within the RGE group of companies. RGE, headquartered in Singapore, manages various world-class companies focused on resource-based manufacturing industries. RGE Group manages assets exceeding US$15 billion and employs over 50,000 people worldwide.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For more information go to: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  <w:t>woodfibrelng.ca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  <w:p w:rsidR="00D05D2A" w:rsidRDefault="00D05D2A">
            <w:pPr>
              <w:pStyle w:val="NormalWeb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Further information: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6"/>
              <w:gridCol w:w="2696"/>
            </w:tblGrid>
            <w:tr w:rsidR="00D05D2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5D2A" w:rsidRDefault="00D05D2A">
                  <w:pP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Linde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 xml:space="preserve"> Media Relations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 xml:space="preserve">Uwe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Wolfinger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Phone: +49.89.35757-1320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Stefan Metz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Phone: +49.89.35757-1322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5D2A" w:rsidRDefault="00D05D2A">
                  <w:pP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Investor Relations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 xml:space="preserve">Dr Dominik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Heger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Phone: +49.89.35757-1334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 xml:space="preserve">Eva </w:t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Frerker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Phone: +49.89.35757-1332</w:t>
                  </w:r>
                </w:p>
              </w:tc>
            </w:tr>
            <w:tr w:rsidR="00D05D2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5D2A" w:rsidRDefault="00D05D2A">
                  <w:pP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Woodfibre</w:t>
                  </w:r>
                  <w:proofErr w:type="spellEnd"/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 xml:space="preserve"> Media Relations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Marian Ngo</w:t>
                  </w: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br/>
                    <w:t>Phone: +1-604-620-7883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5D2A" w:rsidRDefault="00D05D2A">
                  <w:pP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05D2A" w:rsidRDefault="00D05D2A">
            <w:pPr>
              <w:spacing w:after="240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</w:p>
          <w:p w:rsidR="00D05D2A" w:rsidRDefault="00D05D2A" w:rsidP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pict>
                <v:rect id="_x0000_i1026" style="width:562.5pt;height:.75pt" o:hrpct="0" o:hrstd="t" o:hr="t" fillcolor="#a0a0a0" stroked="f"/>
              </w:pict>
            </w:r>
          </w:p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11.09.2014 Dissemination of a Corporate News, transmitted by DGAP - a service of EQS Group AG.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The issuer is solely responsible for the content of this announcement.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The DGAP Distribution Services include Regulatory Announcements, Financial/Corporate News and Press Releases.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Media archive at </w:t>
            </w:r>
            <w:hyperlink r:id="rId6" w:history="1">
              <w:r>
                <w:rPr>
                  <w:rStyle w:val="Hyperlink"/>
                  <w:rFonts w:ascii="Verdana" w:eastAsia="Times New Roman" w:hAnsi="Verdana" w:cs="Arial"/>
                  <w:sz w:val="18"/>
                  <w:szCs w:val="18"/>
                </w:rPr>
                <w:t>www.dgap-medientreff.de</w:t>
              </w:r>
            </w:hyperlink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and </w:t>
            </w:r>
            <w:hyperlink r:id="rId7" w:history="1">
              <w:r>
                <w:rPr>
                  <w:rStyle w:val="Hyperlink"/>
                  <w:rFonts w:ascii="Verdana" w:eastAsia="Times New Roman" w:hAnsi="Verdana" w:cs="Arial"/>
                  <w:sz w:val="18"/>
                  <w:szCs w:val="18"/>
                </w:rPr>
                <w:t>www.dgap.de</w:t>
              </w:r>
            </w:hyperlink>
          </w:p>
          <w:p w:rsidR="00D05D2A" w:rsidRDefault="00D05D2A" w:rsidP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pict>
                <v:rect id="_x0000_i1027" style="width:562.5pt;height:.75pt" o:hrpct="0" o:hrstd="t" o:hr="t" fillcolor="#a0a0a0" stroked="f"/>
              </w:pict>
            </w:r>
          </w:p>
        </w:tc>
      </w:tr>
    </w:tbl>
    <w:p w:rsidR="00D05D2A" w:rsidRDefault="00D05D2A" w:rsidP="00D05D2A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301"/>
      </w:tblGrid>
      <w:tr w:rsidR="00D05D2A" w:rsidTr="00D05D2A">
        <w:trPr>
          <w:tblCellSpacing w:w="0" w:type="dxa"/>
        </w:trPr>
        <w:tc>
          <w:tcPr>
            <w:tcW w:w="1725" w:type="dxa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Language:</w:t>
            </w: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English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Company:</w:t>
            </w: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Linde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AG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Klosterhofstraße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1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80331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München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Germany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+49.89.35757-01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+49.89.35757-1075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Verdana" w:eastAsia="Times New Roman" w:hAnsi="Verdana" w:cs="Arial"/>
                  <w:sz w:val="18"/>
                  <w:szCs w:val="18"/>
                </w:rPr>
                <w:t>info@linde.com</w:t>
              </w:r>
            </w:hyperlink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Internet:</w:t>
            </w: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Verdana" w:eastAsia="Times New Roman" w:hAnsi="Verdana" w:cs="Arial"/>
                  <w:sz w:val="18"/>
                  <w:szCs w:val="18"/>
                </w:rPr>
                <w:t>www.linde.de</w:t>
              </w:r>
            </w:hyperlink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ISIN:</w:t>
            </w: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DE0006483001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WKN:</w:t>
            </w: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648300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Indices:</w:t>
            </w: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DAX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Listed:</w:t>
            </w: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Regulierter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Markt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in Berlin, Düsseldorf, Frankfurt (Prime Standard), Hamburg,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München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Stuttgart;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Freiverkehr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in Hannover;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Terminbörse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EUREX; SIX </w: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05D2A" w:rsidRDefault="00D05D2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05D2A" w:rsidRDefault="00D05D2A" w:rsidP="00D05D2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5563"/>
      </w:tblGrid>
      <w:tr w:rsidR="00D05D2A" w:rsidTr="00D05D2A">
        <w:trPr>
          <w:trHeight w:val="150"/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:rsidR="00D05D2A" w:rsidRDefault="00D05D2A">
            <w:pPr>
              <w:rPr>
                <w:rFonts w:eastAsia="Times New Roman"/>
                <w:vanish/>
              </w:rPr>
            </w:pP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End of News</w:t>
            </w:r>
          </w:p>
        </w:tc>
        <w:tc>
          <w:tcPr>
            <w:tcW w:w="0" w:type="auto"/>
            <w:vAlign w:val="center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DGAP News-Service</w:t>
            </w:r>
          </w:p>
        </w:tc>
      </w:tr>
    </w:tbl>
    <w:p w:rsidR="00D05D2A" w:rsidRDefault="00D05D2A" w:rsidP="00D05D2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divId w:val="503935822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pict>
                <v:rect id="_x0000_i1028" style="width:562.5pt;height:.75pt" o:hrpct="0" o:hrstd="t" o:hr="t" fillcolor="#a0a0a0" stroked="f"/>
              </w:pict>
            </w:r>
          </w:p>
        </w:tc>
      </w:tr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286671  11.09.2014 </w:t>
            </w:r>
          </w:p>
        </w:tc>
      </w:tr>
    </w:tbl>
    <w:p w:rsidR="00D05D2A" w:rsidRDefault="00D05D2A" w:rsidP="00D05D2A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05D2A" w:rsidTr="00D05D2A">
        <w:trPr>
          <w:tblCellSpacing w:w="0" w:type="dxa"/>
        </w:trPr>
        <w:tc>
          <w:tcPr>
            <w:tcW w:w="0" w:type="auto"/>
            <w:hideMark/>
          </w:tcPr>
          <w:p w:rsidR="00D05D2A" w:rsidRDefault="00D05D2A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If you wish to be removed from the distribution list, please click </w:t>
            </w:r>
            <w:hyperlink r:id="rId10" w:history="1">
              <w:r>
                <w:rPr>
                  <w:rStyle w:val="Hyperlink"/>
                  <w:rFonts w:ascii="Verdana" w:eastAsia="Times New Roman" w:hAnsi="Verdana" w:cs="Arial"/>
                  <w:sz w:val="18"/>
                  <w:szCs w:val="18"/>
                </w:rPr>
                <w:t>here</w:t>
              </w:r>
            </w:hyperlink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195A65" w:rsidRDefault="00195A65">
      <w:bookmarkStart w:id="0" w:name="_GoBack"/>
      <w:bookmarkEnd w:id="0"/>
    </w:p>
    <w:sectPr w:rsidR="0019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2A"/>
    <w:rsid w:val="00195A65"/>
    <w:rsid w:val="00D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079FD-9389-4872-8549-986F16C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2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5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nd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gap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ap-medientreff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-ir-cockpit.equitystory.com/cgi-bin/fncls.ssp?fn=redirect&amp;url=acd9b75e9ed2a79e123df2575be481b8&amp;application_id=286671&amp;user_id=2875986&amp;application_name=news" TargetMode="External"/><Relationship Id="rId10" Type="http://schemas.openxmlformats.org/officeDocument/2006/relationships/hyperlink" Target="http://public-ir-cockpit.equitystory.com/cgi-bin/fncls.ssp?fn=news_unregister_user&amp;id=286671&amp;user_id=2875986&amp;email=clientrelations@synapticdigital.com&amp;cdn=Linde&amp;language=english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lind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Ngoyi</dc:creator>
  <cp:keywords/>
  <dc:description/>
  <cp:lastModifiedBy>Sonia Ngoyi</cp:lastModifiedBy>
  <cp:revision>1</cp:revision>
  <dcterms:created xsi:type="dcterms:W3CDTF">2014-09-11T15:13:00Z</dcterms:created>
  <dcterms:modified xsi:type="dcterms:W3CDTF">2014-09-11T15:13:00Z</dcterms:modified>
</cp:coreProperties>
</file>