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D066" w14:textId="77777777" w:rsidR="00A76E93" w:rsidRDefault="00AE7601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</w:rPr>
      </w:pPr>
      <w:r>
        <w:rPr>
          <w:rFonts w:ascii="Arial" w:hAnsi="Arial"/>
          <w:b/>
          <w:color w:val="0055A4"/>
          <w:sz w:val="30"/>
          <w:szCs w:val="30"/>
        </w:rPr>
        <w:t>Goodyear presenterer CityCube, et unikt konseptdekk for konseptbilen Toyota i-TRIL</w:t>
      </w:r>
    </w:p>
    <w:p w14:paraId="48CD88B5" w14:textId="77777777" w:rsidR="00A76E93" w:rsidRDefault="00AE7601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>Goodyear CityCube har sensorteknologi og blandet montering for Toyotas innovative konseptbil</w:t>
      </w:r>
    </w:p>
    <w:p w14:paraId="100275AD" w14:textId="77777777" w:rsidR="00A76E93" w:rsidRPr="00D82264" w:rsidRDefault="00A76E93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6"/>
          <w:szCs w:val="24"/>
        </w:rPr>
      </w:pPr>
    </w:p>
    <w:p w14:paraId="4969333B" w14:textId="4686754A" w:rsidR="00AE7601" w:rsidRPr="00AE7601" w:rsidRDefault="00AE7601" w:rsidP="00AE7601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</w:rPr>
      </w:pPr>
      <w:r>
        <w:rPr>
          <w:rFonts w:ascii="Arial" w:hAnsi="Arial"/>
          <w:color w:val="3B3838" w:themeColor="background2" w:themeShade="40"/>
        </w:rPr>
        <w:t>Geneve, 8. mars – Goodyear presenterer sitt nyeste konseptdekk, Goodyear CityCube, som er designet for konseptbilen Toyota i-TRIL, først vist på den internasjon</w:t>
      </w:r>
      <w:r w:rsidR="00617189">
        <w:rPr>
          <w:rFonts w:ascii="Arial" w:hAnsi="Arial"/>
          <w:color w:val="3B3838" w:themeColor="background2" w:themeShade="40"/>
        </w:rPr>
        <w:t>ale bilmessen i Genève i 2017.</w:t>
      </w:r>
    </w:p>
    <w:p w14:paraId="63DF3FEA" w14:textId="77777777" w:rsidR="00AE7601" w:rsidRPr="00AE7601" w:rsidRDefault="00AE7601" w:rsidP="00AE7601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</w:rPr>
      </w:pPr>
      <w:r>
        <w:rPr>
          <w:rFonts w:ascii="Arial" w:hAnsi="Arial"/>
          <w:color w:val="3B3838" w:themeColor="background2" w:themeShade="40"/>
        </w:rPr>
        <w:t xml:space="preserve">Med sin avanserte sensorteknologi og unike mønsterdesign kan CityCube identifisere ulike veiforhold og sende disse dataene til bilen for å støtte de avanserte ulykkeshindrende systemene. </w:t>
      </w:r>
    </w:p>
    <w:p w14:paraId="06A3D9EA" w14:textId="56DF208A" w:rsidR="00AE7601" w:rsidRDefault="00617189" w:rsidP="00AE7601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</w:rPr>
      </w:pPr>
      <w:r w:rsidRPr="00A76E93">
        <w:rPr>
          <w:rFonts w:ascii="Arial" w:hAnsi="Arial" w:cs="Arial"/>
          <w:noProof/>
          <w:color w:val="3B3838" w:themeColor="background2" w:themeShade="40"/>
          <w:sz w:val="18"/>
          <w:szCs w:val="18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FDA" wp14:editId="3F8904FA">
                <wp:simplePos x="0" y="0"/>
                <wp:positionH relativeFrom="page">
                  <wp:posOffset>4019550</wp:posOffset>
                </wp:positionH>
                <wp:positionV relativeFrom="paragraph">
                  <wp:posOffset>885190</wp:posOffset>
                </wp:positionV>
                <wp:extent cx="3147060" cy="26650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85FC" w14:textId="77777777" w:rsidR="00A76E93" w:rsidRPr="005C647F" w:rsidRDefault="005C647F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På de skråstilte forhjulene monteres høye, smale dekk med reversert retning, inspirert av den symmetriske designen på motorsykkeldekk. </w:t>
                            </w:r>
                          </w:p>
                          <w:p w14:paraId="419EFBCC" w14:textId="6CA9FC06" w:rsidR="00A76E93" w:rsidRDefault="00A76E93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Dette bidrar til trygg kjøring og drenerer bort vann for det større bakdekket for bedre grep. </w:t>
                            </w:r>
                          </w:p>
                          <w:p w14:paraId="0181615F" w14:textId="77777777" w:rsidR="00617189" w:rsidRPr="005C647F" w:rsidRDefault="00617189" w:rsidP="0061718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Bakdekkene har en asymmetrisk design med en mindre oppdelt innsidedel for bedre svingstabilitet. </w:t>
                            </w:r>
                          </w:p>
                          <w:p w14:paraId="57C2C4AC" w14:textId="77777777" w:rsidR="00617189" w:rsidRPr="005C647F" w:rsidRDefault="00617189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B2EA6A4" w14:textId="77777777" w:rsidR="00A76E93" w:rsidRPr="00315A69" w:rsidRDefault="00A76E93" w:rsidP="00A76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69.7pt;width:247.8pt;height:20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" stroked="f">
                <v:textbox>
                  <w:txbxContent>
                    <w:p w14:paraId="789685FC" w14:textId="77777777" w:rsidR="00A76E93" w:rsidRPr="005C647F" w:rsidRDefault="005C647F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På de skråstilte forhjulene monteres høye, smale dekk med reversert retning, inspirert av den symmetriske designen på motorsykkeldekk. </w:t>
                      </w:r>
                    </w:p>
                    <w:p w14:paraId="419EFBCC" w14:textId="6CA9FC06" w:rsidR="00A76E93" w:rsidRDefault="00A76E93" w:rsidP="00A76E93">
                      <w:pPr>
                        <w:spacing w:line="360" w:lineRule="auto"/>
                        <w:jc w:val="both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Dette bidrar til trygg kjøring og drenerer bort vann for det større bakdekket for bedre grep. </w:t>
                      </w:r>
                    </w:p>
                    <w:p w14:paraId="0181615F" w14:textId="77777777" w:rsidR="00617189" w:rsidRPr="005C647F" w:rsidRDefault="00617189" w:rsidP="0061718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Bakdekkene har en asymmetrisk design med en mindre oppdelt innsidedel for bedre svingstabilitet. </w:t>
                      </w:r>
                    </w:p>
                    <w:p w14:paraId="57C2C4AC" w14:textId="77777777" w:rsidR="00617189" w:rsidRPr="005C647F" w:rsidRDefault="00617189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B2EA6A4" w14:textId="77777777" w:rsidR="00A76E93" w:rsidRPr="00315A69" w:rsidRDefault="00A76E93" w:rsidP="00A76E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2336" behindDoc="1" locked="0" layoutInCell="1" allowOverlap="1" wp14:anchorId="201D01CD" wp14:editId="48F031DD">
            <wp:simplePos x="0" y="0"/>
            <wp:positionH relativeFrom="margin">
              <wp:align>left</wp:align>
            </wp:positionH>
            <wp:positionV relativeFrom="paragraph">
              <wp:posOffset>784860</wp:posOffset>
            </wp:positionV>
            <wp:extent cx="3011805" cy="2769870"/>
            <wp:effectExtent l="0" t="0" r="0" b="0"/>
            <wp:wrapTight wrapText="bothSides">
              <wp:wrapPolygon edited="0">
                <wp:start x="0" y="0"/>
                <wp:lineTo x="0" y="21392"/>
                <wp:lineTo x="21450" y="21392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01">
        <w:rPr>
          <w:rFonts w:ascii="Arial" w:hAnsi="Arial"/>
          <w:color w:val="3B3838" w:themeColor="background2" w:themeShade="40"/>
        </w:rPr>
        <w:t xml:space="preserve">Forhjulene på Toyota i-TRIL er skråstilt, og det inspirerte Goodyears designere til å tenke i retning motorsykkedekkdesign. Resultatet er en unik konturform og blandet montering, et høyt og smalt dekk foran og en bredere, asymmetrisk design bak. </w:t>
      </w:r>
    </w:p>
    <w:p w14:paraId="2799F9A7" w14:textId="54E359BB" w:rsidR="00F42B71" w:rsidRDefault="00F42B71" w:rsidP="008C713B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  <w:sz w:val="18"/>
          <w:szCs w:val="18"/>
        </w:rPr>
      </w:pPr>
    </w:p>
    <w:p w14:paraId="4284BEB5" w14:textId="489984FA" w:rsidR="00F42B71" w:rsidRPr="00F42B71" w:rsidRDefault="00F42B71" w:rsidP="00F42B71">
      <w:pPr>
        <w:rPr>
          <w:rFonts w:ascii="Arial" w:hAnsi="Arial" w:cs="Arial"/>
          <w:sz w:val="18"/>
          <w:szCs w:val="18"/>
        </w:rPr>
      </w:pPr>
    </w:p>
    <w:p w14:paraId="1EA91E45" w14:textId="6D6DEEE5" w:rsidR="00D82264" w:rsidRPr="00617189" w:rsidRDefault="00D82264" w:rsidP="00617189">
      <w:pPr>
        <w:tabs>
          <w:tab w:val="left" w:pos="386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3B3838" w:themeColor="background2" w:themeShade="40"/>
        </w:rPr>
        <w:t xml:space="preserve">Goodyear har også lansert en ny hologramtekstur til designen, med en avansert gradering i sideveggfargene for et unikt og tiltrekkende utseende. </w:t>
      </w:r>
    </w:p>
    <w:p w14:paraId="283BDC64" w14:textId="317BB051" w:rsidR="00AC17C7" w:rsidRPr="00AC17C7" w:rsidRDefault="00D82264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  <w:color w:val="3B3838" w:themeColor="background2" w:themeShade="40"/>
        </w:rPr>
        <w:t xml:space="preserve">CityCube er skreddersydd etter Toyotas strenge krav, og utformet for å være lett og gi lav rullemotstand, en viktig egenskap for dekk til fremtidens elektriske biler. </w:t>
      </w:r>
      <w:r w:rsidR="00AC17C7" w:rsidRPr="00AC17C7">
        <w:rPr>
          <w:rFonts w:ascii="Arial" w:hAnsi="Arial"/>
          <w:color w:val="3B3838" w:themeColor="background2" w:themeShade="40"/>
        </w:rPr>
        <w:t xml:space="preserve">CityCube har også redusert sporvolum, som gir bedre kilometer resultat og reduserer lydnivået, </w:t>
      </w:r>
      <w:r w:rsidR="005B20A4" w:rsidRPr="005B20A4">
        <w:rPr>
          <w:rFonts w:ascii="Arial" w:hAnsi="Arial"/>
          <w:color w:val="3B3838" w:themeColor="background2" w:themeShade="40"/>
        </w:rPr>
        <w:t>som kan bidra til et bedre storbyliv</w:t>
      </w:r>
      <w:r w:rsidR="005B20A4">
        <w:rPr>
          <w:rFonts w:ascii="Arial" w:hAnsi="Arial"/>
          <w:color w:val="3B3838" w:themeColor="background2" w:themeShade="40"/>
        </w:rPr>
        <w:t>.</w:t>
      </w:r>
    </w:p>
    <w:p w14:paraId="7A9BD758" w14:textId="0153BCE4" w:rsidR="00D82264" w:rsidRPr="00617189" w:rsidRDefault="00D82264" w:rsidP="006171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/>
          <w:color w:val="3B3838" w:themeColor="background2" w:themeShade="40"/>
        </w:rPr>
        <w:t>David Anckaert, generaldirektør for produktutvikling for originalutstyr i EMEA-regionen hos Goodyear, kommenterer det slik: «</w:t>
      </w:r>
      <w:r>
        <w:rPr>
          <w:rFonts w:ascii="Arial" w:hAnsi="Arial"/>
          <w:i/>
          <w:color w:val="3B3838" w:themeColor="background2" w:themeShade="40"/>
        </w:rPr>
        <w:t>Vi er veldig glade for å kunne presentere dette innovative konsepdekket for konseptbilen Toyota i-TRIL. Enda en gang bekrefter Goodyear sin ekspertise innen utvikling av skreddersydde løsninger for bilprodusenter. Vi fokuserer på å designe løsninger som gjør nye mobilitetstrender mulige, for ekse</w:t>
      </w:r>
      <w:bookmarkStart w:id="0" w:name="_GoBack"/>
      <w:bookmarkEnd w:id="0"/>
      <w:r>
        <w:rPr>
          <w:rFonts w:ascii="Arial" w:hAnsi="Arial"/>
          <w:i/>
          <w:color w:val="3B3838" w:themeColor="background2" w:themeShade="40"/>
        </w:rPr>
        <w:t>mpel førererløse biler og smarte byer.»</w:t>
      </w:r>
      <w:r>
        <w:rPr>
          <w:rFonts w:ascii="Arial" w:hAnsi="Arial"/>
          <w:color w:val="3B3838" w:themeColor="background2" w:themeShade="40"/>
        </w:rPr>
        <w:t xml:space="preserve"> </w:t>
      </w:r>
    </w:p>
    <w:p w14:paraId="47A1482C" w14:textId="77777777" w:rsidR="00D82264" w:rsidRDefault="00D82264" w:rsidP="00A76E93">
      <w:pPr>
        <w:rPr>
          <w:rFonts w:ascii="Arial" w:hAnsi="Arial" w:cs="Arial"/>
          <w:color w:val="0055A4"/>
          <w:sz w:val="18"/>
          <w:szCs w:val="18"/>
        </w:rPr>
      </w:pPr>
    </w:p>
    <w:p w14:paraId="115AADE8" w14:textId="77777777" w:rsidR="00A76E93" w:rsidRPr="00CD02F6" w:rsidRDefault="00A76E93" w:rsidP="00A76E93">
      <w:pPr>
        <w:rPr>
          <w:rFonts w:ascii="Arial" w:hAnsi="Arial" w:cs="Arial"/>
          <w:color w:val="58595B"/>
        </w:rPr>
      </w:pPr>
      <w:r>
        <w:rPr>
          <w:rFonts w:ascii="Arial" w:hAnsi="Arial"/>
          <w:color w:val="0055A4"/>
          <w:sz w:val="18"/>
          <w:szCs w:val="18"/>
        </w:rPr>
        <w:t>Om Goodyear</w:t>
      </w:r>
    </w:p>
    <w:p w14:paraId="5ECE62AA" w14:textId="77777777" w:rsidR="00A76E93" w:rsidRPr="00113195" w:rsidRDefault="00A76E93" w:rsidP="00A76E93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404040"/>
          <w:sz w:val="18"/>
          <w:szCs w:val="18"/>
        </w:rPr>
        <w:t xml:space="preserve">Goodyear er én av verdens ledende dekkprodusenter. Selskapet har cirka 66 000 ansatte og produserer sine produkter på 48 anlegg i 21 land over hele verden. De to innovasjonssentrene i Akron i Ohio, USA og Colmar-Berg i Luxembourg arbeider for å utvikle avanserte produkter og tjenester som setter standarden for bransjen både innen teknologi og kjøreegenskaper. Hvis du vil ha mer informasjon om Goodyear eller Goodyears produkter, kan du gå til </w:t>
      </w:r>
      <w:hyperlink r:id="rId8" w:history="1">
        <w:r>
          <w:rPr>
            <w:rFonts w:ascii="Arial" w:hAnsi="Arial"/>
            <w:color w:val="404040"/>
            <w:sz w:val="18"/>
            <w:szCs w:val="18"/>
          </w:rPr>
          <w:t>www.goodyear.eu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. </w:t>
      </w:r>
    </w:p>
    <w:p w14:paraId="2EABF53E" w14:textId="77777777" w:rsidR="00A76E93" w:rsidRPr="00113195" w:rsidRDefault="00A76E93" w:rsidP="00A76E93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 xml:space="preserve">Flere bilder er tilgjengelige i </w:t>
      </w:r>
      <w:r>
        <w:rPr>
          <w:rFonts w:ascii="Arial" w:hAnsi="Arial"/>
          <w:color w:val="404040"/>
          <w:sz w:val="18"/>
          <w:szCs w:val="18"/>
        </w:rPr>
        <w:t xml:space="preserve">vårt digitale presserom på </w:t>
      </w:r>
      <w:hyperlink r:id="rId9" w:history="1">
        <w:r>
          <w:rPr>
            <w:rFonts w:ascii="Arial" w:hAnsi="Arial"/>
            <w:color w:val="404040"/>
            <w:sz w:val="18"/>
            <w:szCs w:val="18"/>
          </w:rPr>
          <w:t>http://news.goodyear.eu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  </w:t>
      </w:r>
    </w:p>
    <w:p w14:paraId="15EC0B11" w14:textId="77777777" w:rsidR="008C713B" w:rsidRPr="00D82264" w:rsidRDefault="00A76E93" w:rsidP="00D82264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 xml:space="preserve">Du kan også følge oss </w:t>
      </w:r>
      <w:r>
        <w:rPr>
          <w:rFonts w:ascii="Arial" w:hAnsi="Arial"/>
          <w:color w:val="404040"/>
          <w:sz w:val="18"/>
          <w:szCs w:val="18"/>
        </w:rPr>
        <w:t xml:space="preserve">på Twitter @GoodyearPress eller bli med i vår ThinkGoodMobility-gruppe på LinkedIn. </w:t>
      </w:r>
    </w:p>
    <w:sectPr w:rsidR="008C713B" w:rsidRPr="00D82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DFD2" w14:textId="77777777" w:rsidR="006E63AA" w:rsidRDefault="006E63AA" w:rsidP="00C20EE5">
      <w:pPr>
        <w:spacing w:after="0" w:line="240" w:lineRule="auto"/>
      </w:pPr>
      <w:r>
        <w:separator/>
      </w:r>
    </w:p>
  </w:endnote>
  <w:endnote w:type="continuationSeparator" w:id="0">
    <w:p w14:paraId="14A0A4B8" w14:textId="77777777" w:rsidR="006E63AA" w:rsidRDefault="006E63A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4FD" w14:textId="77777777" w:rsidR="008E2782" w:rsidRDefault="008E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CFD6" w14:textId="77777777" w:rsidR="008E2782" w:rsidRDefault="008E2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8BE3" w14:textId="77777777" w:rsidR="008E2782" w:rsidRDefault="008E2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418E" w14:textId="77777777" w:rsidR="006E63AA" w:rsidRDefault="006E63AA" w:rsidP="00C20EE5">
      <w:pPr>
        <w:spacing w:after="0" w:line="240" w:lineRule="auto"/>
      </w:pPr>
      <w:r>
        <w:separator/>
      </w:r>
    </w:p>
  </w:footnote>
  <w:footnote w:type="continuationSeparator" w:id="0">
    <w:p w14:paraId="76897F1D" w14:textId="77777777" w:rsidR="006E63AA" w:rsidRDefault="006E63A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F589" w14:textId="77777777" w:rsidR="008E2782" w:rsidRDefault="008E2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8478" w14:textId="273542AB" w:rsidR="00C20EE5" w:rsidRDefault="00D86B38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52D8F" wp14:editId="22E9B1D3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26003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DF7F" w14:textId="77777777"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PRESSEMELDING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pt;margin-top:35.25pt;width:204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" filled="f" stroked="f">
              <v:textbox>
                <w:txbxContent>
                  <w:p w14:paraId="2381DF7F" w14:textId="77777777"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PRESSEMELDING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sv-SE" w:eastAsia="sv-SE"/>
      </w:rPr>
      <w:drawing>
        <wp:anchor distT="0" distB="0" distL="114300" distR="114300" simplePos="0" relativeHeight="251659263" behindDoc="0" locked="0" layoutInCell="1" allowOverlap="1" wp14:anchorId="4C613963" wp14:editId="48E355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462FE3E" wp14:editId="74C0785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sv-SE" w:eastAsia="sv-SE"/>
      </w:rPr>
      <w:drawing>
        <wp:anchor distT="0" distB="0" distL="114300" distR="114300" simplePos="0" relativeHeight="251666432" behindDoc="0" locked="0" layoutInCell="1" allowOverlap="1" wp14:anchorId="16D6CB47" wp14:editId="49411286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06D34" wp14:editId="541A4B84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CFE8D0" wp14:editId="414B5038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9B212" w14:textId="77777777" w:rsidR="00C20EE5" w:rsidRPr="00C20EE5" w:rsidRDefault="00A76E93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  <w:t xml:space="preserve">Geneve, 08.03.2017 </w:t>
                          </w:r>
                        </w:p>
                        <w:p w14:paraId="48A14058" w14:textId="77777777" w:rsidR="00C20EE5" w:rsidRPr="001E7F5F" w:rsidRDefault="00C20EE5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FE8D0" id="_x0000_s1028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CVV0Dy&#10;3wAAAAoBAAAPAAAAAAAAAAAAAAAAAGYEAABkcnMvZG93bnJldi54bWxQSwUGAAAAAAQABADzAAAA&#10;cgUAAAAA&#10;" filled="f" stroked="f">
              <v:textbox>
                <w:txbxContent>
                  <w:p w14:paraId="4629B212" w14:textId="77777777" w:rsidR="00C20EE5" w:rsidRPr="00C20EE5" w:rsidRDefault="00A76E93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8"/>
                      </w:rPr>
                      <w:t xml:space="preserve">Geneve, 08.03.2017 </w:t>
                    </w:r>
                  </w:p>
                  <w:p w14:paraId="48A14058" w14:textId="77777777" w:rsidR="00C20EE5" w:rsidRPr="001E7F5F" w:rsidRDefault="00C20EE5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8BDB43B" w14:textId="77777777" w:rsidR="00C20EE5" w:rsidRDefault="00C20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5669" w14:textId="77777777" w:rsidR="008E2782" w:rsidRDefault="008E2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1B5924"/>
    <w:rsid w:val="001E7F5F"/>
    <w:rsid w:val="00322595"/>
    <w:rsid w:val="00330CB1"/>
    <w:rsid w:val="003B7FCC"/>
    <w:rsid w:val="00417C0C"/>
    <w:rsid w:val="004E708A"/>
    <w:rsid w:val="005A0228"/>
    <w:rsid w:val="005A0FB4"/>
    <w:rsid w:val="005B20A4"/>
    <w:rsid w:val="005C647F"/>
    <w:rsid w:val="00617189"/>
    <w:rsid w:val="006B413B"/>
    <w:rsid w:val="006E63AA"/>
    <w:rsid w:val="007103DF"/>
    <w:rsid w:val="007D247E"/>
    <w:rsid w:val="00806346"/>
    <w:rsid w:val="00807883"/>
    <w:rsid w:val="008C713B"/>
    <w:rsid w:val="008E2782"/>
    <w:rsid w:val="008E5C74"/>
    <w:rsid w:val="009124D6"/>
    <w:rsid w:val="009A65BB"/>
    <w:rsid w:val="00A76E93"/>
    <w:rsid w:val="00A83189"/>
    <w:rsid w:val="00AC17C7"/>
    <w:rsid w:val="00AE7601"/>
    <w:rsid w:val="00B20621"/>
    <w:rsid w:val="00B232A4"/>
    <w:rsid w:val="00B23F2B"/>
    <w:rsid w:val="00C20EE5"/>
    <w:rsid w:val="00C45DD6"/>
    <w:rsid w:val="00C81F25"/>
    <w:rsid w:val="00D82264"/>
    <w:rsid w:val="00D86B38"/>
    <w:rsid w:val="00EB395F"/>
    <w:rsid w:val="00F42B71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859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A76E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s.goodyear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2017-03-03T12:35:00Z</dcterms:created>
  <dcterms:modified xsi:type="dcterms:W3CDTF">2017-03-06T13:14:00Z</dcterms:modified>
</cp:coreProperties>
</file>