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C05A" w14:textId="77777777" w:rsidR="00B22B74" w:rsidRPr="002F5F09" w:rsidRDefault="00B22B74" w:rsidP="00C22ED6">
      <w:pPr>
        <w:autoSpaceDE w:val="0"/>
        <w:autoSpaceDN w:val="0"/>
        <w:spacing w:before="120" w:line="360" w:lineRule="auto"/>
        <w:jc w:val="both"/>
        <w:rPr>
          <w:rFonts w:ascii="Arial" w:hAnsi="Arial" w:cs="Arial"/>
          <w:b/>
          <w:color w:val="0055A4"/>
          <w:sz w:val="18"/>
          <w:szCs w:val="30"/>
          <w:lang w:val="it-IT"/>
        </w:rPr>
      </w:pPr>
    </w:p>
    <w:p w14:paraId="603C1744" w14:textId="5319B2A2" w:rsidR="00A43947" w:rsidRPr="00DD4877" w:rsidRDefault="00A43947" w:rsidP="00C22ED6">
      <w:pPr>
        <w:autoSpaceDE w:val="0"/>
        <w:autoSpaceDN w:val="0"/>
        <w:spacing w:before="120" w:line="360" w:lineRule="auto"/>
        <w:jc w:val="both"/>
        <w:rPr>
          <w:rFonts w:ascii="Arial" w:hAnsi="Arial" w:cs="Arial"/>
          <w:b/>
          <w:color w:val="0055A4"/>
          <w:sz w:val="30"/>
          <w:szCs w:val="30"/>
          <w:lang w:val="it-IT"/>
        </w:rPr>
      </w:pPr>
      <w:r w:rsidRPr="00DD4877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Goodyear </w:t>
      </w:r>
      <w:r w:rsidR="00C22ED6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svela </w:t>
      </w:r>
      <w:proofErr w:type="spellStart"/>
      <w:r w:rsidR="0065376A">
        <w:rPr>
          <w:rFonts w:ascii="Arial" w:hAnsi="Arial" w:cs="Arial"/>
          <w:b/>
          <w:color w:val="0055A4"/>
          <w:sz w:val="30"/>
          <w:szCs w:val="30"/>
          <w:lang w:val="it-IT"/>
        </w:rPr>
        <w:t>EfficientGrip</w:t>
      </w:r>
      <w:proofErr w:type="spellEnd"/>
      <w:r w:rsidR="0065376A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Cargo</w:t>
      </w:r>
      <w:r w:rsidR="009C2BE0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per</w:t>
      </w:r>
      <w:r w:rsidR="00DD4877" w:rsidRPr="00DD4877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veicoli commerciali leggeri</w:t>
      </w:r>
    </w:p>
    <w:p w14:paraId="7C55787F" w14:textId="44D5B04E" w:rsidR="00A43947" w:rsidRPr="00DD4877" w:rsidRDefault="009C2BE0" w:rsidP="002F5F09">
      <w:pPr>
        <w:autoSpaceDE w:val="0"/>
        <w:autoSpaceDN w:val="0"/>
        <w:spacing w:before="120" w:after="240" w:line="360" w:lineRule="auto"/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Rispetto al predecessore </w:t>
      </w:r>
      <w:r w:rsidR="00DD4877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G</w:t>
      </w:r>
      <w:r w:rsidR="00570B87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oodyear</w:t>
      </w:r>
      <w:r w:rsidR="00A43947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Cargo Marathon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</w:t>
      </w:r>
      <w:r w:rsidR="00DD4877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chilometraggio 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superiore</w:t>
      </w:r>
      <w:r w:rsidR="00DD4877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fino a </w:t>
      </w:r>
      <w:r w:rsidR="00255EBE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10</w:t>
      </w:r>
      <w:r w:rsid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.</w:t>
      </w:r>
      <w:r w:rsidR="00255EBE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000km</w:t>
      </w:r>
      <w:r w:rsidR="00CE1067">
        <w:rPr>
          <w:rStyle w:val="Rimandonotaapidipagina"/>
          <w:rFonts w:ascii="Arial" w:hAnsi="Arial" w:cs="Arial"/>
          <w:b/>
          <w:color w:val="7F7F7F" w:themeColor="text1" w:themeTint="80"/>
          <w:sz w:val="24"/>
          <w:szCs w:val="24"/>
        </w:rPr>
        <w:footnoteReference w:id="1"/>
      </w:r>
      <w:r w:rsidR="00255EBE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,</w:t>
      </w:r>
      <w:r w:rsidR="00F739AD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migliore efficienza dei consumi e </w:t>
      </w:r>
      <w:r w:rsid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maggiore aderenza, soprattutto su</w:t>
      </w:r>
      <w:r w:rsidR="00682F6A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l</w:t>
      </w:r>
      <w:r w:rsid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bagnato</w:t>
      </w:r>
      <w:r w:rsidR="00ED2541" w:rsidRPr="00DD4877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. </w:t>
      </w:r>
    </w:p>
    <w:p w14:paraId="75FC9672" w14:textId="73266793" w:rsidR="00BF7689" w:rsidRDefault="001E06F5" w:rsidP="002F5F09">
      <w:pPr>
        <w:autoSpaceDE w:val="0"/>
        <w:autoSpaceDN w:val="0"/>
        <w:spacing w:before="240" w:after="240" w:line="360" w:lineRule="auto"/>
        <w:rPr>
          <w:rFonts w:ascii="Arial" w:hAnsi="Arial" w:cs="Arial"/>
          <w:lang w:val="it-IT"/>
        </w:rPr>
      </w:pPr>
      <w:r w:rsidRPr="00C22ED6">
        <w:rPr>
          <w:rFonts w:ascii="Arial" w:hAnsi="Arial" w:cs="Arial"/>
          <w:lang w:val="it-IT"/>
        </w:rPr>
        <w:t xml:space="preserve">Goodyear </w:t>
      </w:r>
      <w:r w:rsidR="009C2BE0" w:rsidRPr="00C22ED6">
        <w:rPr>
          <w:rFonts w:ascii="Arial" w:hAnsi="Arial" w:cs="Arial"/>
          <w:lang w:val="it-IT"/>
        </w:rPr>
        <w:t xml:space="preserve">annuncia il lancio di </w:t>
      </w:r>
      <w:proofErr w:type="spellStart"/>
      <w:r w:rsidR="00BF7689" w:rsidRPr="00C22ED6">
        <w:rPr>
          <w:rFonts w:ascii="Arial" w:hAnsi="Arial" w:cs="Arial"/>
          <w:lang w:val="it-IT"/>
        </w:rPr>
        <w:t>EfficientGrip</w:t>
      </w:r>
      <w:proofErr w:type="spellEnd"/>
      <w:r w:rsidR="00BF7689" w:rsidRPr="00C22ED6">
        <w:rPr>
          <w:rFonts w:ascii="Arial" w:hAnsi="Arial" w:cs="Arial"/>
          <w:lang w:val="it-IT"/>
        </w:rPr>
        <w:t xml:space="preserve"> Cargo </w:t>
      </w:r>
      <w:r w:rsidR="00DD4877" w:rsidRPr="00C22ED6">
        <w:rPr>
          <w:rFonts w:ascii="Arial" w:hAnsi="Arial" w:cs="Arial"/>
          <w:lang w:val="it-IT"/>
        </w:rPr>
        <w:t xml:space="preserve">in </w:t>
      </w:r>
      <w:r w:rsidR="007E56ED">
        <w:rPr>
          <w:rFonts w:ascii="Arial" w:hAnsi="Arial" w:cs="Arial"/>
          <w:lang w:val="it-IT"/>
        </w:rPr>
        <w:t>Italia</w:t>
      </w:r>
      <w:r w:rsidR="00C22ED6">
        <w:rPr>
          <w:rFonts w:ascii="Arial" w:hAnsi="Arial" w:cs="Arial"/>
          <w:lang w:val="it-IT"/>
        </w:rPr>
        <w:t xml:space="preserve">, il nuovo pneumatico </w:t>
      </w:r>
      <w:r w:rsidR="007E56ED">
        <w:rPr>
          <w:rFonts w:ascii="Arial" w:hAnsi="Arial" w:cs="Arial"/>
          <w:lang w:val="it-IT"/>
        </w:rPr>
        <w:t>da trasporto leggero</w:t>
      </w:r>
      <w:r w:rsidR="00C22ED6">
        <w:rPr>
          <w:rFonts w:ascii="Arial" w:hAnsi="Arial" w:cs="Arial"/>
          <w:lang w:val="it-IT"/>
        </w:rPr>
        <w:t xml:space="preserve"> che risponde alle principali esigenze </w:t>
      </w:r>
      <w:r w:rsidR="007E56ED">
        <w:rPr>
          <w:rFonts w:ascii="Arial" w:hAnsi="Arial" w:cs="Arial"/>
          <w:lang w:val="it-IT"/>
        </w:rPr>
        <w:t>degli utilizzatori di veicoli commerciali</w:t>
      </w:r>
      <w:r w:rsidR="00C22ED6">
        <w:rPr>
          <w:rFonts w:ascii="Arial" w:hAnsi="Arial" w:cs="Arial"/>
          <w:lang w:val="it-IT"/>
        </w:rPr>
        <w:t>: l</w:t>
      </w:r>
      <w:r w:rsidR="00BA2A1A" w:rsidRPr="00C22ED6">
        <w:rPr>
          <w:rFonts w:ascii="Arial" w:hAnsi="Arial" w:cs="Arial"/>
          <w:lang w:val="it-IT"/>
        </w:rPr>
        <w:t>’efficienza nei consumi e</w:t>
      </w:r>
      <w:r w:rsidR="00E260DC" w:rsidRPr="00C22ED6">
        <w:rPr>
          <w:rFonts w:ascii="Arial" w:hAnsi="Arial" w:cs="Arial"/>
          <w:lang w:val="it-IT"/>
        </w:rPr>
        <w:t xml:space="preserve"> l’aumento del chilometraggio</w:t>
      </w:r>
      <w:r w:rsidR="00CD70CB" w:rsidRPr="00C22ED6">
        <w:rPr>
          <w:rStyle w:val="Rimandonotaapidipagina"/>
          <w:rFonts w:ascii="Arial" w:hAnsi="Arial" w:cs="Arial"/>
        </w:rPr>
        <w:footnoteReference w:id="2"/>
      </w:r>
      <w:r w:rsidR="009C2BE0" w:rsidRPr="00C22ED6">
        <w:rPr>
          <w:rFonts w:ascii="Arial" w:hAnsi="Arial" w:cs="Arial"/>
          <w:lang w:val="it-IT"/>
        </w:rPr>
        <w:t xml:space="preserve">. </w:t>
      </w:r>
    </w:p>
    <w:p w14:paraId="1EC0C7A0" w14:textId="77777777" w:rsidR="00C22ED6" w:rsidRPr="00C22ED6" w:rsidRDefault="00C22ED6" w:rsidP="002F5F09">
      <w:pPr>
        <w:autoSpaceDE w:val="0"/>
        <w:autoSpaceDN w:val="0"/>
        <w:spacing w:after="240" w:line="360" w:lineRule="auto"/>
        <w:rPr>
          <w:rFonts w:ascii="Arial" w:hAnsi="Arial" w:cs="Arial"/>
          <w:sz w:val="12"/>
          <w:lang w:val="it-IT"/>
        </w:rPr>
      </w:pPr>
    </w:p>
    <w:p w14:paraId="76248C6C" w14:textId="3DD044BC" w:rsidR="005933D5" w:rsidRPr="00C22ED6" w:rsidRDefault="00E260DC" w:rsidP="002F5F09">
      <w:pPr>
        <w:autoSpaceDE w:val="0"/>
        <w:autoSpaceDN w:val="0"/>
        <w:spacing w:after="240" w:line="360" w:lineRule="auto"/>
        <w:rPr>
          <w:rFonts w:ascii="Arial" w:hAnsi="Arial" w:cs="Arial"/>
          <w:b/>
          <w:u w:val="single"/>
          <w:lang w:val="it-IT"/>
        </w:rPr>
      </w:pPr>
      <w:r w:rsidRPr="00C22ED6">
        <w:rPr>
          <w:rFonts w:ascii="Arial" w:hAnsi="Arial" w:cs="Arial"/>
          <w:b/>
          <w:u w:val="single"/>
          <w:lang w:val="it-IT"/>
        </w:rPr>
        <w:t>Guidare più a lungo con lo stesso treno di pneumatici</w:t>
      </w:r>
    </w:p>
    <w:p w14:paraId="040CFE6D" w14:textId="39980ABB" w:rsidR="009C2BE0" w:rsidRPr="00C22ED6" w:rsidRDefault="00E260DC" w:rsidP="002F5F09">
      <w:pPr>
        <w:autoSpaceDE w:val="0"/>
        <w:autoSpaceDN w:val="0"/>
        <w:spacing w:after="240" w:line="360" w:lineRule="auto"/>
        <w:rPr>
          <w:rFonts w:ascii="Arial" w:hAnsi="Arial" w:cs="Arial"/>
          <w:lang w:val="it-IT"/>
        </w:rPr>
      </w:pPr>
      <w:r w:rsidRPr="00C22ED6">
        <w:rPr>
          <w:rFonts w:ascii="Arial" w:hAnsi="Arial" w:cs="Arial"/>
          <w:lang w:val="it-IT"/>
        </w:rPr>
        <w:t>Per offrire un maggiore chilometraggio</w:t>
      </w:r>
      <w:r w:rsidR="00570B87" w:rsidRPr="00C22ED6">
        <w:rPr>
          <w:rStyle w:val="Rimandonotaapidipagina"/>
          <w:rFonts w:ascii="Arial" w:hAnsi="Arial" w:cs="Arial"/>
        </w:rPr>
        <w:footnoteReference w:id="3"/>
      </w:r>
      <w:r w:rsidR="00CD70CB" w:rsidRPr="00C22ED6">
        <w:rPr>
          <w:rFonts w:ascii="Arial" w:hAnsi="Arial" w:cs="Arial"/>
          <w:lang w:val="it-IT"/>
        </w:rPr>
        <w:t xml:space="preserve">, </w:t>
      </w:r>
      <w:proofErr w:type="spellStart"/>
      <w:r w:rsidR="00CD70CB" w:rsidRPr="00C22ED6">
        <w:rPr>
          <w:rFonts w:ascii="Arial" w:hAnsi="Arial" w:cs="Arial"/>
          <w:lang w:val="it-IT"/>
        </w:rPr>
        <w:t>EfficientGrip</w:t>
      </w:r>
      <w:proofErr w:type="spellEnd"/>
      <w:r w:rsidR="00CD70CB" w:rsidRPr="00C22ED6">
        <w:rPr>
          <w:rFonts w:ascii="Arial" w:hAnsi="Arial" w:cs="Arial"/>
          <w:lang w:val="it-IT"/>
        </w:rPr>
        <w:t xml:space="preserve"> Cargo </w:t>
      </w:r>
      <w:r w:rsidR="009C2BE0" w:rsidRPr="00C22ED6">
        <w:rPr>
          <w:rFonts w:ascii="Arial" w:hAnsi="Arial" w:cs="Arial"/>
          <w:lang w:val="it-IT"/>
        </w:rPr>
        <w:t xml:space="preserve">sfrutta due innovazioni: </w:t>
      </w:r>
    </w:p>
    <w:p w14:paraId="3B44CA1F" w14:textId="22AB4974" w:rsidR="009C2BE0" w:rsidRPr="00C22ED6" w:rsidRDefault="00A0537C" w:rsidP="002F5F09">
      <w:pPr>
        <w:pStyle w:val="Paragrafoelenco"/>
        <w:numPr>
          <w:ilvl w:val="0"/>
          <w:numId w:val="1"/>
        </w:numPr>
        <w:autoSpaceDE w:val="0"/>
        <w:autoSpaceDN w:val="0"/>
        <w:spacing w:after="240" w:line="360" w:lineRule="auto"/>
        <w:rPr>
          <w:rFonts w:ascii="Arial" w:hAnsi="Arial" w:cs="Arial"/>
          <w:lang w:val="it-IT"/>
        </w:rPr>
      </w:pPr>
      <w:proofErr w:type="spellStart"/>
      <w:r w:rsidRPr="00C22ED6">
        <w:rPr>
          <w:rFonts w:ascii="Arial" w:hAnsi="Arial" w:cs="Arial"/>
          <w:b/>
          <w:lang w:val="it-IT"/>
        </w:rPr>
        <w:t>ExtraMile</w:t>
      </w:r>
      <w:proofErr w:type="spellEnd"/>
      <w:r w:rsidRPr="00C22ED6">
        <w:rPr>
          <w:rFonts w:ascii="Arial" w:hAnsi="Arial" w:cs="Arial"/>
          <w:b/>
          <w:lang w:val="it-IT"/>
        </w:rPr>
        <w:t xml:space="preserve"> Technology</w:t>
      </w:r>
      <w:r w:rsidR="00890035" w:rsidRPr="00C22ED6">
        <w:rPr>
          <w:rFonts w:ascii="Arial" w:hAnsi="Arial" w:cs="Arial"/>
          <w:lang w:val="it-IT"/>
        </w:rPr>
        <w:t>, che prevede un</w:t>
      </w:r>
      <w:r w:rsidR="009C2BE0" w:rsidRPr="00C22ED6">
        <w:rPr>
          <w:rFonts w:ascii="Arial" w:hAnsi="Arial" w:cs="Arial"/>
          <w:lang w:val="it-IT"/>
        </w:rPr>
        <w:t xml:space="preserve"> battistrada con una nuova mescola a base di silice</w:t>
      </w:r>
      <w:r w:rsidR="0065376A" w:rsidRPr="00C22ED6">
        <w:rPr>
          <w:rFonts w:ascii="Arial" w:hAnsi="Arial" w:cs="Arial"/>
          <w:lang w:val="it-IT"/>
        </w:rPr>
        <w:t>, che</w:t>
      </w:r>
      <w:r w:rsidR="00E260DC" w:rsidRPr="00C22ED6">
        <w:rPr>
          <w:rFonts w:ascii="Arial" w:hAnsi="Arial" w:cs="Arial"/>
          <w:lang w:val="it-IT"/>
        </w:rPr>
        <w:t xml:space="preserve"> aumenta la resistenza all’u</w:t>
      </w:r>
      <w:r w:rsidR="009C2BE0" w:rsidRPr="00C22ED6">
        <w:rPr>
          <w:rFonts w:ascii="Arial" w:hAnsi="Arial" w:cs="Arial"/>
          <w:lang w:val="it-IT"/>
        </w:rPr>
        <w:t>sura,</w:t>
      </w:r>
      <w:r w:rsidR="0065376A" w:rsidRPr="00C22ED6">
        <w:rPr>
          <w:rFonts w:ascii="Arial" w:hAnsi="Arial" w:cs="Arial"/>
          <w:lang w:val="it-IT"/>
        </w:rPr>
        <w:t xml:space="preserve"> anche su superfici abrasive</w:t>
      </w:r>
      <w:r w:rsidR="00C22ED6">
        <w:rPr>
          <w:rFonts w:ascii="Arial" w:hAnsi="Arial" w:cs="Arial"/>
          <w:lang w:val="it-IT"/>
        </w:rPr>
        <w:t>,</w:t>
      </w:r>
      <w:r w:rsidR="00E260DC" w:rsidRPr="00C22ED6">
        <w:rPr>
          <w:rFonts w:ascii="Arial" w:hAnsi="Arial" w:cs="Arial"/>
          <w:lang w:val="it-IT"/>
        </w:rPr>
        <w:t xml:space="preserve"> e migliora l’aderenza</w:t>
      </w:r>
      <w:r w:rsidR="00CD7E63" w:rsidRPr="00C22ED6">
        <w:rPr>
          <w:rFonts w:ascii="Arial" w:hAnsi="Arial" w:cs="Arial"/>
          <w:lang w:val="it-IT"/>
        </w:rPr>
        <w:t xml:space="preserve"> su</w:t>
      </w:r>
      <w:r w:rsidR="00682F6A" w:rsidRPr="00C22ED6">
        <w:rPr>
          <w:rFonts w:ascii="Arial" w:hAnsi="Arial" w:cs="Arial"/>
          <w:lang w:val="it-IT"/>
        </w:rPr>
        <w:t xml:space="preserve"> fondo</w:t>
      </w:r>
      <w:r w:rsidR="00E260DC" w:rsidRPr="00C22ED6">
        <w:rPr>
          <w:rFonts w:ascii="Arial" w:hAnsi="Arial" w:cs="Arial"/>
          <w:lang w:val="it-IT"/>
        </w:rPr>
        <w:t xml:space="preserve"> bagnato</w:t>
      </w:r>
      <w:r w:rsidR="009C2BE0" w:rsidRPr="00C22ED6">
        <w:rPr>
          <w:rFonts w:ascii="Arial" w:hAnsi="Arial" w:cs="Arial"/>
          <w:lang w:val="it-IT"/>
        </w:rPr>
        <w:t>.</w:t>
      </w:r>
    </w:p>
    <w:p w14:paraId="13E7B920" w14:textId="202DBCA3" w:rsidR="001E06F5" w:rsidRPr="00C22ED6" w:rsidRDefault="009C2BE0" w:rsidP="002F5F09">
      <w:pPr>
        <w:pStyle w:val="Paragrafoelenco"/>
        <w:numPr>
          <w:ilvl w:val="0"/>
          <w:numId w:val="1"/>
        </w:numPr>
        <w:autoSpaceDE w:val="0"/>
        <w:autoSpaceDN w:val="0"/>
        <w:spacing w:after="240" w:line="360" w:lineRule="auto"/>
        <w:rPr>
          <w:rFonts w:ascii="Arial" w:hAnsi="Arial" w:cs="Arial"/>
          <w:lang w:val="it-IT"/>
        </w:rPr>
      </w:pPr>
      <w:r w:rsidRPr="00C22ED6">
        <w:rPr>
          <w:rFonts w:ascii="Arial" w:hAnsi="Arial" w:cs="Arial"/>
          <w:lang w:val="it-IT"/>
        </w:rPr>
        <w:t xml:space="preserve">Un </w:t>
      </w:r>
      <w:r w:rsidRPr="00C22ED6">
        <w:rPr>
          <w:rFonts w:ascii="Arial" w:hAnsi="Arial" w:cs="Arial"/>
          <w:b/>
          <w:lang w:val="it-IT"/>
        </w:rPr>
        <w:t>disegno del battistrada ottimizzato</w:t>
      </w:r>
      <w:r w:rsidRPr="00C22ED6">
        <w:rPr>
          <w:rFonts w:ascii="Arial" w:hAnsi="Arial" w:cs="Arial"/>
          <w:lang w:val="it-IT"/>
        </w:rPr>
        <w:t xml:space="preserve"> per garantire una</w:t>
      </w:r>
      <w:r w:rsidR="00A42079" w:rsidRPr="00C22ED6">
        <w:rPr>
          <w:rFonts w:ascii="Arial" w:hAnsi="Arial" w:cs="Arial"/>
          <w:lang w:val="it-IT"/>
        </w:rPr>
        <w:t xml:space="preserve"> distribuzione più uniforme della pressione, con conseguente aumento dell</w:t>
      </w:r>
      <w:r w:rsidR="00CD7E63" w:rsidRPr="00C22ED6">
        <w:rPr>
          <w:rFonts w:ascii="Arial" w:hAnsi="Arial" w:cs="Arial"/>
          <w:lang w:val="it-IT"/>
        </w:rPr>
        <w:t xml:space="preserve">a </w:t>
      </w:r>
      <w:r w:rsidR="008E413B" w:rsidRPr="00C22ED6">
        <w:rPr>
          <w:rFonts w:ascii="Arial" w:hAnsi="Arial" w:cs="Arial"/>
          <w:lang w:val="it-IT"/>
        </w:rPr>
        <w:t>superficie a</w:t>
      </w:r>
      <w:r w:rsidR="00CD7E63" w:rsidRPr="00C22ED6">
        <w:rPr>
          <w:rFonts w:ascii="Arial" w:hAnsi="Arial" w:cs="Arial"/>
          <w:lang w:val="it-IT"/>
        </w:rPr>
        <w:t xml:space="preserve"> contatto con la strada</w:t>
      </w:r>
      <w:r w:rsidR="00255EBE" w:rsidRPr="00C22ED6">
        <w:rPr>
          <w:rFonts w:ascii="Arial" w:hAnsi="Arial" w:cs="Arial"/>
          <w:lang w:val="it-IT"/>
        </w:rPr>
        <w:t>.</w:t>
      </w:r>
    </w:p>
    <w:p w14:paraId="732BF28F" w14:textId="0F49EA2B" w:rsidR="005933D5" w:rsidRPr="00C22ED6" w:rsidRDefault="0035560A" w:rsidP="002F5F09">
      <w:pPr>
        <w:autoSpaceDE w:val="0"/>
        <w:autoSpaceDN w:val="0"/>
        <w:spacing w:after="240" w:line="360" w:lineRule="auto"/>
        <w:rPr>
          <w:rFonts w:ascii="Arial" w:hAnsi="Arial" w:cs="Arial"/>
          <w:lang w:val="it-IT"/>
        </w:rPr>
      </w:pPr>
      <w:r w:rsidRPr="00C22ED6">
        <w:rPr>
          <w:rFonts w:ascii="Arial" w:hAnsi="Arial" w:cs="Arial"/>
          <w:lang w:val="it-IT"/>
        </w:rPr>
        <w:t xml:space="preserve">Grazie a queste </w:t>
      </w:r>
      <w:r w:rsidR="00C22ED6">
        <w:rPr>
          <w:rFonts w:ascii="Arial" w:hAnsi="Arial" w:cs="Arial"/>
          <w:lang w:val="it-IT"/>
        </w:rPr>
        <w:t>caratteristiche</w:t>
      </w:r>
      <w:r w:rsidRPr="00C22ED6">
        <w:rPr>
          <w:rFonts w:ascii="Arial" w:hAnsi="Arial" w:cs="Arial"/>
          <w:lang w:val="it-IT"/>
        </w:rPr>
        <w:t xml:space="preserve">, il pneumatico </w:t>
      </w:r>
      <w:r w:rsidR="00B22B74">
        <w:rPr>
          <w:rFonts w:ascii="Arial" w:hAnsi="Arial" w:cs="Arial"/>
          <w:lang w:val="it-IT"/>
        </w:rPr>
        <w:t xml:space="preserve">consente ai veicoli commerciali </w:t>
      </w:r>
      <w:r w:rsidRPr="00C22ED6">
        <w:rPr>
          <w:rFonts w:ascii="Arial" w:hAnsi="Arial" w:cs="Arial"/>
          <w:lang w:val="it-IT"/>
        </w:rPr>
        <w:t xml:space="preserve">di percorrere </w:t>
      </w:r>
      <w:r w:rsidRPr="00C22ED6">
        <w:rPr>
          <w:rFonts w:ascii="Arial" w:hAnsi="Arial" w:cs="Arial"/>
          <w:b/>
          <w:lang w:val="it-IT"/>
        </w:rPr>
        <w:t xml:space="preserve">fino a </w:t>
      </w:r>
      <w:r w:rsidR="00CE7972" w:rsidRPr="00C22ED6">
        <w:rPr>
          <w:rFonts w:ascii="Arial" w:hAnsi="Arial" w:cs="Arial"/>
          <w:b/>
          <w:lang w:val="it-IT"/>
        </w:rPr>
        <w:t>10</w:t>
      </w:r>
      <w:r w:rsidRPr="00C22ED6">
        <w:rPr>
          <w:rFonts w:ascii="Arial" w:hAnsi="Arial" w:cs="Arial"/>
          <w:b/>
          <w:lang w:val="it-IT"/>
        </w:rPr>
        <w:t>.</w:t>
      </w:r>
      <w:r w:rsidR="00927FE5" w:rsidRPr="00C22ED6">
        <w:rPr>
          <w:rFonts w:ascii="Arial" w:hAnsi="Arial" w:cs="Arial"/>
          <w:b/>
          <w:lang w:val="it-IT"/>
        </w:rPr>
        <w:t>000km</w:t>
      </w:r>
      <w:r w:rsidR="00AA4FA3" w:rsidRPr="00C22ED6">
        <w:rPr>
          <w:rFonts w:ascii="Arial" w:hAnsi="Arial" w:cs="Arial"/>
          <w:b/>
          <w:lang w:val="it-IT"/>
        </w:rPr>
        <w:t xml:space="preserve"> </w:t>
      </w:r>
      <w:r w:rsidRPr="00C22ED6">
        <w:rPr>
          <w:rFonts w:ascii="Arial" w:hAnsi="Arial" w:cs="Arial"/>
          <w:b/>
          <w:lang w:val="it-IT"/>
        </w:rPr>
        <w:t>in più</w:t>
      </w:r>
      <w:r w:rsidR="00570B87" w:rsidRPr="00C22ED6">
        <w:rPr>
          <w:rStyle w:val="Rimandonotaapidipagina"/>
          <w:lang w:val="it-IT"/>
        </w:rPr>
        <w:t>3</w:t>
      </w:r>
      <w:r w:rsidR="009C2BE0" w:rsidRPr="00C22ED6">
        <w:rPr>
          <w:rFonts w:ascii="Arial" w:hAnsi="Arial" w:cs="Arial"/>
          <w:lang w:val="it-IT"/>
        </w:rPr>
        <w:t xml:space="preserve"> con lo stesso treno di pneumatici.</w:t>
      </w:r>
    </w:p>
    <w:p w14:paraId="2A3718D7" w14:textId="46925B47" w:rsidR="00C22ED6" w:rsidRDefault="00C22ED6" w:rsidP="008C713B">
      <w:pPr>
        <w:autoSpaceDE w:val="0"/>
        <w:autoSpaceDN w:val="0"/>
        <w:spacing w:line="360" w:lineRule="auto"/>
        <w:rPr>
          <w:rFonts w:ascii="Arial" w:hAnsi="Arial" w:cs="Arial"/>
          <w:sz w:val="14"/>
          <w:lang w:val="it-IT"/>
        </w:rPr>
      </w:pPr>
    </w:p>
    <w:p w14:paraId="77C47F84" w14:textId="485CEB28" w:rsidR="00B22B74" w:rsidRDefault="00B22B74" w:rsidP="008C713B">
      <w:pPr>
        <w:autoSpaceDE w:val="0"/>
        <w:autoSpaceDN w:val="0"/>
        <w:spacing w:line="360" w:lineRule="auto"/>
        <w:rPr>
          <w:rFonts w:ascii="Arial" w:hAnsi="Arial" w:cs="Arial"/>
          <w:sz w:val="14"/>
          <w:lang w:val="it-IT"/>
        </w:rPr>
      </w:pPr>
    </w:p>
    <w:p w14:paraId="7805445E" w14:textId="7B409726" w:rsidR="00757AE2" w:rsidRPr="00C22ED6" w:rsidRDefault="00AA4FA3" w:rsidP="008C713B">
      <w:pPr>
        <w:autoSpaceDE w:val="0"/>
        <w:autoSpaceDN w:val="0"/>
        <w:spacing w:line="360" w:lineRule="auto"/>
        <w:rPr>
          <w:rFonts w:ascii="Arial" w:hAnsi="Arial" w:cs="Arial"/>
          <w:b/>
          <w:u w:val="single"/>
          <w:lang w:val="it-IT"/>
        </w:rPr>
      </w:pPr>
      <w:r w:rsidRPr="00C22ED6">
        <w:rPr>
          <w:rFonts w:ascii="Arial" w:hAnsi="Arial" w:cs="Arial"/>
          <w:b/>
          <w:u w:val="single"/>
          <w:lang w:val="it-IT"/>
        </w:rPr>
        <w:t>Minore consumo di carburante</w:t>
      </w:r>
    </w:p>
    <w:p w14:paraId="7D1CC40E" w14:textId="4B314975" w:rsidR="00ED2888" w:rsidRPr="00C22ED6" w:rsidRDefault="008E413B" w:rsidP="008C713B">
      <w:pPr>
        <w:autoSpaceDE w:val="0"/>
        <w:autoSpaceDN w:val="0"/>
        <w:spacing w:line="360" w:lineRule="auto"/>
        <w:rPr>
          <w:rFonts w:ascii="Arial" w:hAnsi="Arial" w:cs="Arial"/>
          <w:lang w:val="it-IT"/>
        </w:rPr>
      </w:pPr>
      <w:r w:rsidRPr="00C22ED6">
        <w:rPr>
          <w:rFonts w:ascii="Arial" w:hAnsi="Arial" w:cs="Arial"/>
          <w:lang w:val="it-IT"/>
        </w:rPr>
        <w:t xml:space="preserve">Un’altra tecnologia incorporata </w:t>
      </w:r>
      <w:r w:rsidR="00C22ED6">
        <w:rPr>
          <w:rFonts w:ascii="Arial" w:hAnsi="Arial" w:cs="Arial"/>
          <w:lang w:val="it-IT"/>
        </w:rPr>
        <w:t>in</w:t>
      </w:r>
      <w:r w:rsidRPr="00C22ED6">
        <w:rPr>
          <w:rFonts w:ascii="Arial" w:hAnsi="Arial" w:cs="Arial"/>
          <w:lang w:val="it-IT"/>
        </w:rPr>
        <w:t xml:space="preserve"> </w:t>
      </w:r>
      <w:proofErr w:type="spellStart"/>
      <w:r w:rsidRPr="00C22ED6">
        <w:rPr>
          <w:rFonts w:ascii="Arial" w:hAnsi="Arial" w:cs="Arial"/>
          <w:lang w:val="it-IT"/>
        </w:rPr>
        <w:t>EfficientGrip</w:t>
      </w:r>
      <w:proofErr w:type="spellEnd"/>
      <w:r w:rsidRPr="00C22ED6">
        <w:rPr>
          <w:rFonts w:ascii="Arial" w:hAnsi="Arial" w:cs="Arial"/>
          <w:lang w:val="it-IT"/>
        </w:rPr>
        <w:t xml:space="preserve"> Cargo è la </w:t>
      </w:r>
      <w:proofErr w:type="spellStart"/>
      <w:r w:rsidRPr="00C22ED6">
        <w:rPr>
          <w:rFonts w:ascii="Arial" w:hAnsi="Arial" w:cs="Arial"/>
          <w:b/>
          <w:lang w:val="it-IT"/>
        </w:rPr>
        <w:t>FuelSaving</w:t>
      </w:r>
      <w:proofErr w:type="spellEnd"/>
      <w:r w:rsidRPr="00C22ED6">
        <w:rPr>
          <w:rFonts w:ascii="Arial" w:hAnsi="Arial" w:cs="Arial"/>
          <w:b/>
          <w:lang w:val="it-IT"/>
        </w:rPr>
        <w:t xml:space="preserve"> Technology</w:t>
      </w:r>
      <w:r w:rsidR="00112175" w:rsidRPr="00C22ED6">
        <w:rPr>
          <w:rFonts w:ascii="Arial" w:hAnsi="Arial" w:cs="Arial"/>
          <w:lang w:val="it-IT"/>
        </w:rPr>
        <w:t>,</w:t>
      </w:r>
      <w:r w:rsidRPr="00C22ED6">
        <w:rPr>
          <w:rFonts w:ascii="Arial" w:hAnsi="Arial" w:cs="Arial"/>
          <w:lang w:val="it-IT"/>
        </w:rPr>
        <w:t xml:space="preserve"> che </w:t>
      </w:r>
      <w:r w:rsidR="00C22ED6">
        <w:rPr>
          <w:rFonts w:ascii="Arial" w:hAnsi="Arial" w:cs="Arial"/>
          <w:lang w:val="it-IT"/>
        </w:rPr>
        <w:t>prevede</w:t>
      </w:r>
      <w:r w:rsidR="009C2BE0" w:rsidRPr="00C22ED6">
        <w:rPr>
          <w:rFonts w:ascii="Arial" w:hAnsi="Arial" w:cs="Arial"/>
          <w:lang w:val="it-IT"/>
        </w:rPr>
        <w:t xml:space="preserve"> uno strato interno</w:t>
      </w:r>
      <w:r w:rsidRPr="00C22ED6">
        <w:rPr>
          <w:rFonts w:ascii="Arial" w:hAnsi="Arial" w:cs="Arial"/>
          <w:lang w:val="it-IT"/>
        </w:rPr>
        <w:t xml:space="preserve"> di mescola</w:t>
      </w:r>
      <w:r w:rsidR="009C2BE0" w:rsidRPr="00C22ED6">
        <w:rPr>
          <w:rFonts w:ascii="Arial" w:hAnsi="Arial" w:cs="Arial"/>
          <w:lang w:val="it-IT"/>
        </w:rPr>
        <w:t xml:space="preserve"> </w:t>
      </w:r>
      <w:r w:rsidRPr="00C22ED6">
        <w:rPr>
          <w:rFonts w:ascii="Arial" w:hAnsi="Arial" w:cs="Arial"/>
          <w:lang w:val="it-IT"/>
        </w:rPr>
        <w:t>(</w:t>
      </w:r>
      <w:r w:rsidRPr="00C22ED6">
        <w:rPr>
          <w:rFonts w:ascii="Arial" w:hAnsi="Arial" w:cs="Arial"/>
          <w:i/>
          <w:lang w:val="it-IT"/>
        </w:rPr>
        <w:t xml:space="preserve">Cool </w:t>
      </w:r>
      <w:proofErr w:type="spellStart"/>
      <w:r w:rsidRPr="00C22ED6">
        <w:rPr>
          <w:rFonts w:ascii="Arial" w:hAnsi="Arial" w:cs="Arial"/>
          <w:i/>
          <w:lang w:val="it-IT"/>
        </w:rPr>
        <w:t>Cushion</w:t>
      </w:r>
      <w:proofErr w:type="spellEnd"/>
      <w:r w:rsidRPr="00C22ED6">
        <w:rPr>
          <w:rFonts w:ascii="Arial" w:hAnsi="Arial" w:cs="Arial"/>
          <w:i/>
          <w:lang w:val="it-IT"/>
        </w:rPr>
        <w:t xml:space="preserve"> </w:t>
      </w:r>
      <w:proofErr w:type="spellStart"/>
      <w:r w:rsidRPr="00C22ED6">
        <w:rPr>
          <w:rFonts w:ascii="Arial" w:hAnsi="Arial" w:cs="Arial"/>
          <w:i/>
          <w:lang w:val="it-IT"/>
        </w:rPr>
        <w:t>Layer</w:t>
      </w:r>
      <w:proofErr w:type="spellEnd"/>
      <w:r w:rsidRPr="00C22ED6">
        <w:rPr>
          <w:rFonts w:ascii="Arial" w:hAnsi="Arial" w:cs="Arial"/>
          <w:lang w:val="it-IT"/>
        </w:rPr>
        <w:t xml:space="preserve">) </w:t>
      </w:r>
      <w:r w:rsidR="009C2BE0" w:rsidRPr="00C22ED6">
        <w:rPr>
          <w:rFonts w:ascii="Arial" w:hAnsi="Arial" w:cs="Arial"/>
          <w:lang w:val="it-IT"/>
        </w:rPr>
        <w:t xml:space="preserve">in grado di </w:t>
      </w:r>
      <w:r w:rsidR="009C2BE0" w:rsidRPr="00C22ED6">
        <w:rPr>
          <w:rFonts w:ascii="Arial" w:hAnsi="Arial" w:cs="Arial"/>
          <w:b/>
          <w:lang w:val="it-IT"/>
        </w:rPr>
        <w:t>migliorare la dissipazione di</w:t>
      </w:r>
      <w:r w:rsidR="00AA4FA3" w:rsidRPr="00C22ED6">
        <w:rPr>
          <w:rFonts w:ascii="Arial" w:hAnsi="Arial" w:cs="Arial"/>
          <w:b/>
          <w:lang w:val="it-IT"/>
        </w:rPr>
        <w:t xml:space="preserve"> calore</w:t>
      </w:r>
      <w:r w:rsidR="00112175" w:rsidRPr="00C22ED6">
        <w:rPr>
          <w:rFonts w:ascii="Arial" w:hAnsi="Arial" w:cs="Arial"/>
          <w:b/>
          <w:lang w:val="it-IT"/>
        </w:rPr>
        <w:t xml:space="preserve"> e ridurre la resistenza al </w:t>
      </w:r>
      <w:r w:rsidR="00C531FC" w:rsidRPr="00C22ED6">
        <w:rPr>
          <w:rFonts w:ascii="Arial" w:hAnsi="Arial" w:cs="Arial"/>
          <w:b/>
          <w:lang w:val="it-IT"/>
        </w:rPr>
        <w:t>ro</w:t>
      </w:r>
      <w:r w:rsidR="00112175" w:rsidRPr="00C22ED6">
        <w:rPr>
          <w:rFonts w:ascii="Arial" w:hAnsi="Arial" w:cs="Arial"/>
          <w:b/>
          <w:lang w:val="it-IT"/>
        </w:rPr>
        <w:t>tolamento</w:t>
      </w:r>
      <w:r w:rsidR="00175D27" w:rsidRPr="00C22ED6">
        <w:rPr>
          <w:rFonts w:ascii="Arial" w:hAnsi="Arial" w:cs="Arial"/>
          <w:b/>
          <w:lang w:val="it-IT"/>
        </w:rPr>
        <w:t xml:space="preserve"> </w:t>
      </w:r>
      <w:r w:rsidR="00682F6A" w:rsidRPr="00C22ED6">
        <w:rPr>
          <w:rFonts w:ascii="Arial" w:hAnsi="Arial" w:cs="Arial"/>
          <w:b/>
          <w:lang w:val="it-IT"/>
        </w:rPr>
        <w:t>del 18%</w:t>
      </w:r>
      <w:r w:rsidR="001F5E0F" w:rsidRPr="00C22ED6">
        <w:rPr>
          <w:rStyle w:val="Rimandonotaapidipagina"/>
          <w:rFonts w:ascii="Arial" w:hAnsi="Arial" w:cs="Arial"/>
        </w:rPr>
        <w:footnoteReference w:id="4"/>
      </w:r>
      <w:r w:rsidR="001F5E0F" w:rsidRPr="00C22ED6">
        <w:rPr>
          <w:rFonts w:ascii="Arial" w:hAnsi="Arial" w:cs="Arial"/>
          <w:lang w:val="it-IT"/>
        </w:rPr>
        <w:t>.</w:t>
      </w:r>
    </w:p>
    <w:p w14:paraId="39097DF4" w14:textId="23683BDB" w:rsidR="00107CBD" w:rsidRPr="00C22ED6" w:rsidRDefault="00107CBD" w:rsidP="008C713B">
      <w:pPr>
        <w:autoSpaceDE w:val="0"/>
        <w:autoSpaceDN w:val="0"/>
        <w:spacing w:line="360" w:lineRule="auto"/>
        <w:rPr>
          <w:rFonts w:ascii="Arial" w:hAnsi="Arial" w:cs="Arial"/>
          <w:lang w:val="it-IT"/>
        </w:rPr>
      </w:pPr>
      <w:r w:rsidRPr="00C22ED6">
        <w:rPr>
          <w:rFonts w:ascii="Arial" w:hAnsi="Arial" w:cs="Arial"/>
          <w:lang w:val="it-IT"/>
        </w:rPr>
        <w:t>“</w:t>
      </w:r>
      <w:r w:rsidR="00C531FC" w:rsidRPr="00C22ED6">
        <w:rPr>
          <w:rFonts w:ascii="Arial" w:hAnsi="Arial" w:cs="Arial"/>
          <w:i/>
          <w:lang w:val="it-IT"/>
        </w:rPr>
        <w:t>Il nuovo</w:t>
      </w:r>
      <w:r w:rsidRPr="00C22ED6">
        <w:rPr>
          <w:rFonts w:ascii="Arial" w:hAnsi="Arial" w:cs="Arial"/>
          <w:i/>
          <w:lang w:val="it-IT"/>
        </w:rPr>
        <w:t xml:space="preserve"> </w:t>
      </w:r>
      <w:proofErr w:type="spellStart"/>
      <w:r w:rsidRPr="00C22ED6">
        <w:rPr>
          <w:rFonts w:ascii="Arial" w:hAnsi="Arial" w:cs="Arial"/>
          <w:i/>
          <w:lang w:val="it-IT"/>
        </w:rPr>
        <w:t>EfficientGrip</w:t>
      </w:r>
      <w:proofErr w:type="spellEnd"/>
      <w:r w:rsidRPr="00C22ED6">
        <w:rPr>
          <w:rFonts w:ascii="Arial" w:hAnsi="Arial" w:cs="Arial"/>
          <w:i/>
          <w:lang w:val="it-IT"/>
        </w:rPr>
        <w:t xml:space="preserve"> Cargo </w:t>
      </w:r>
      <w:r w:rsidR="00C531FC" w:rsidRPr="00C22ED6">
        <w:rPr>
          <w:rFonts w:ascii="Arial" w:hAnsi="Arial" w:cs="Arial"/>
          <w:i/>
          <w:lang w:val="it-IT"/>
        </w:rPr>
        <w:t>offre ciò che le flotte di veicoli commerciali leggeri richiedono</w:t>
      </w:r>
      <w:r w:rsidR="00682F6A" w:rsidRPr="00C22ED6">
        <w:rPr>
          <w:rFonts w:ascii="Arial" w:hAnsi="Arial" w:cs="Arial"/>
          <w:i/>
          <w:lang w:val="it-IT"/>
        </w:rPr>
        <w:t xml:space="preserve"> con</w:t>
      </w:r>
      <w:r w:rsidR="00C531FC" w:rsidRPr="00C22ED6">
        <w:rPr>
          <w:rFonts w:ascii="Arial" w:hAnsi="Arial" w:cs="Arial"/>
          <w:i/>
          <w:lang w:val="it-IT"/>
        </w:rPr>
        <w:t xml:space="preserve"> maggiore </w:t>
      </w:r>
      <w:r w:rsidR="00682F6A" w:rsidRPr="00C22ED6">
        <w:rPr>
          <w:rFonts w:ascii="Arial" w:hAnsi="Arial" w:cs="Arial"/>
          <w:i/>
          <w:lang w:val="it-IT"/>
        </w:rPr>
        <w:t>in</w:t>
      </w:r>
      <w:r w:rsidR="00C531FC" w:rsidRPr="00C22ED6">
        <w:rPr>
          <w:rFonts w:ascii="Arial" w:hAnsi="Arial" w:cs="Arial"/>
          <w:i/>
          <w:lang w:val="it-IT"/>
        </w:rPr>
        <w:t xml:space="preserve">sistenza: un pneumatico efficiente dal punto di vista dei costi </w:t>
      </w:r>
      <w:r w:rsidR="00175D27" w:rsidRPr="00C22ED6">
        <w:rPr>
          <w:rFonts w:ascii="Arial" w:hAnsi="Arial" w:cs="Arial"/>
          <w:i/>
          <w:lang w:val="it-IT"/>
        </w:rPr>
        <w:t xml:space="preserve">e in grado di durare più </w:t>
      </w:r>
      <w:r w:rsidR="00C531FC" w:rsidRPr="00C22ED6">
        <w:rPr>
          <w:rFonts w:ascii="Arial" w:hAnsi="Arial" w:cs="Arial"/>
          <w:i/>
          <w:lang w:val="it-IT"/>
        </w:rPr>
        <w:t>a lungo</w:t>
      </w:r>
      <w:r w:rsidRPr="00C22ED6">
        <w:rPr>
          <w:rFonts w:ascii="Arial" w:hAnsi="Arial" w:cs="Arial"/>
          <w:i/>
          <w:lang w:val="it-IT"/>
        </w:rPr>
        <w:t>.</w:t>
      </w:r>
      <w:r w:rsidRPr="00C22ED6">
        <w:rPr>
          <w:i/>
          <w:lang w:val="it-IT"/>
        </w:rPr>
        <w:t xml:space="preserve"> </w:t>
      </w:r>
      <w:r w:rsidR="00175D27" w:rsidRPr="00C22ED6">
        <w:rPr>
          <w:rFonts w:ascii="Arial" w:hAnsi="Arial" w:cs="Arial"/>
          <w:i/>
          <w:lang w:val="it-IT"/>
        </w:rPr>
        <w:t>Considerando</w:t>
      </w:r>
      <w:r w:rsidR="00C531FC" w:rsidRPr="00C22ED6">
        <w:rPr>
          <w:rFonts w:ascii="Arial" w:hAnsi="Arial" w:cs="Arial"/>
          <w:i/>
          <w:lang w:val="it-IT"/>
        </w:rPr>
        <w:t xml:space="preserve"> la lunghezza de</w:t>
      </w:r>
      <w:r w:rsidR="00175D27" w:rsidRPr="00C22ED6">
        <w:rPr>
          <w:rFonts w:ascii="Arial" w:hAnsi="Arial" w:cs="Arial"/>
          <w:i/>
          <w:lang w:val="it-IT"/>
        </w:rPr>
        <w:t>i</w:t>
      </w:r>
      <w:r w:rsidR="00522222" w:rsidRPr="00C22ED6">
        <w:rPr>
          <w:rFonts w:ascii="Arial" w:hAnsi="Arial" w:cs="Arial"/>
          <w:i/>
          <w:lang w:val="it-IT"/>
        </w:rPr>
        <w:t xml:space="preserve"> </w:t>
      </w:r>
      <w:r w:rsidR="00640EC3" w:rsidRPr="00C22ED6">
        <w:rPr>
          <w:rFonts w:ascii="Arial" w:hAnsi="Arial" w:cs="Arial"/>
          <w:i/>
          <w:lang w:val="it-IT"/>
        </w:rPr>
        <w:t>tragitti</w:t>
      </w:r>
      <w:r w:rsidR="00175D27" w:rsidRPr="00C22ED6">
        <w:rPr>
          <w:rFonts w:ascii="Arial" w:hAnsi="Arial" w:cs="Arial"/>
          <w:i/>
          <w:lang w:val="it-IT"/>
        </w:rPr>
        <w:t xml:space="preserve"> degli autisti</w:t>
      </w:r>
      <w:r w:rsidR="00640EC3" w:rsidRPr="00C22ED6">
        <w:rPr>
          <w:rFonts w:ascii="Arial" w:hAnsi="Arial" w:cs="Arial"/>
          <w:i/>
          <w:lang w:val="it-IT"/>
        </w:rPr>
        <w:t xml:space="preserve">, l’efficienza dei </w:t>
      </w:r>
      <w:r w:rsidR="005E38DD" w:rsidRPr="00C22ED6">
        <w:rPr>
          <w:rFonts w:ascii="Arial" w:hAnsi="Arial" w:cs="Arial"/>
          <w:i/>
          <w:lang w:val="it-IT"/>
        </w:rPr>
        <w:t>consumi</w:t>
      </w:r>
      <w:r w:rsidR="00640EC3" w:rsidRPr="00C22ED6">
        <w:rPr>
          <w:rFonts w:ascii="Arial" w:hAnsi="Arial" w:cs="Arial"/>
          <w:i/>
          <w:lang w:val="it-IT"/>
        </w:rPr>
        <w:t xml:space="preserve"> è essenziale per soddisfare le l</w:t>
      </w:r>
      <w:r w:rsidR="00522222" w:rsidRPr="00C22ED6">
        <w:rPr>
          <w:rFonts w:ascii="Arial" w:hAnsi="Arial" w:cs="Arial"/>
          <w:i/>
          <w:lang w:val="it-IT"/>
        </w:rPr>
        <w:t xml:space="preserve">oro esigenze </w:t>
      </w:r>
      <w:r w:rsidR="00C22ED6">
        <w:rPr>
          <w:rFonts w:ascii="Arial" w:hAnsi="Arial" w:cs="Arial"/>
          <w:i/>
          <w:lang w:val="it-IT"/>
        </w:rPr>
        <w:t xml:space="preserve">in termini </w:t>
      </w:r>
      <w:r w:rsidR="00640EC3" w:rsidRPr="00C22ED6">
        <w:rPr>
          <w:rFonts w:ascii="Arial" w:hAnsi="Arial" w:cs="Arial"/>
          <w:i/>
          <w:lang w:val="it-IT"/>
        </w:rPr>
        <w:t>di costi e di rispetto dell’ambiente.</w:t>
      </w:r>
      <w:r w:rsidR="005E38DD" w:rsidRPr="00C22ED6">
        <w:rPr>
          <w:rFonts w:ascii="Arial" w:hAnsi="Arial" w:cs="Arial"/>
          <w:i/>
          <w:lang w:val="it-IT"/>
        </w:rPr>
        <w:t xml:space="preserve"> </w:t>
      </w:r>
      <w:r w:rsidR="00A42079" w:rsidRPr="00C22ED6">
        <w:rPr>
          <w:rFonts w:ascii="Arial" w:hAnsi="Arial" w:cs="Arial"/>
          <w:i/>
          <w:lang w:val="it-IT"/>
        </w:rPr>
        <w:t>In funzione delle loro richieste</w:t>
      </w:r>
      <w:r w:rsidR="00522222" w:rsidRPr="00C22ED6">
        <w:rPr>
          <w:rFonts w:ascii="Arial" w:hAnsi="Arial" w:cs="Arial"/>
          <w:i/>
          <w:lang w:val="it-IT"/>
        </w:rPr>
        <w:t>,</w:t>
      </w:r>
      <w:r w:rsidR="005E38DD" w:rsidRPr="00C22ED6">
        <w:rPr>
          <w:rFonts w:ascii="Arial" w:hAnsi="Arial" w:cs="Arial"/>
          <w:i/>
          <w:lang w:val="it-IT"/>
        </w:rPr>
        <w:t xml:space="preserve"> siamo stati in grado di creare la </w:t>
      </w:r>
      <w:proofErr w:type="spellStart"/>
      <w:r w:rsidR="000E7D03">
        <w:rPr>
          <w:rFonts w:ascii="Arial" w:hAnsi="Arial" w:cs="Arial"/>
          <w:i/>
          <w:lang w:val="it-IT"/>
        </w:rPr>
        <w:t>Extra</w:t>
      </w:r>
      <w:r w:rsidR="00233D2C" w:rsidRPr="00C22ED6">
        <w:rPr>
          <w:rFonts w:ascii="Arial" w:hAnsi="Arial" w:cs="Arial"/>
          <w:i/>
          <w:lang w:val="it-IT"/>
        </w:rPr>
        <w:t>Mile</w:t>
      </w:r>
      <w:proofErr w:type="spellEnd"/>
      <w:r w:rsidR="00233D2C" w:rsidRPr="00C22ED6">
        <w:rPr>
          <w:rFonts w:ascii="Arial" w:hAnsi="Arial" w:cs="Arial"/>
          <w:i/>
          <w:lang w:val="it-IT"/>
        </w:rPr>
        <w:t xml:space="preserve"> Technology, </w:t>
      </w:r>
      <w:r w:rsidR="005E38DD" w:rsidRPr="00C22ED6">
        <w:rPr>
          <w:rFonts w:ascii="Arial" w:hAnsi="Arial" w:cs="Arial"/>
          <w:i/>
          <w:lang w:val="it-IT"/>
        </w:rPr>
        <w:t xml:space="preserve">che non solo migliora il chilometraggio del pneumatico, ma anche le sue prestazioni sulle strade bagnate, la sua durata e </w:t>
      </w:r>
      <w:r w:rsidR="00175D27" w:rsidRPr="00C22ED6">
        <w:rPr>
          <w:rFonts w:ascii="Arial" w:hAnsi="Arial" w:cs="Arial"/>
          <w:i/>
          <w:lang w:val="it-IT"/>
        </w:rPr>
        <w:t xml:space="preserve">quindi </w:t>
      </w:r>
      <w:r w:rsidR="005E38DD" w:rsidRPr="00C22ED6">
        <w:rPr>
          <w:rFonts w:ascii="Arial" w:hAnsi="Arial" w:cs="Arial"/>
          <w:i/>
          <w:lang w:val="it-IT"/>
        </w:rPr>
        <w:t xml:space="preserve">il costo totale di </w:t>
      </w:r>
      <w:r w:rsidR="00B22B74">
        <w:rPr>
          <w:rFonts w:ascii="Arial" w:hAnsi="Arial" w:cs="Arial"/>
          <w:i/>
          <w:lang w:val="it-IT"/>
        </w:rPr>
        <w:t>gestione</w:t>
      </w:r>
      <w:r w:rsidR="00C22ED6">
        <w:rPr>
          <w:rFonts w:ascii="Arial" w:hAnsi="Arial" w:cs="Arial"/>
          <w:i/>
          <w:lang w:val="it-IT"/>
        </w:rPr>
        <w:t>,</w:t>
      </w:r>
      <w:r w:rsidR="00233D2C" w:rsidRPr="00C22ED6">
        <w:rPr>
          <w:rFonts w:ascii="Arial" w:hAnsi="Arial" w:cs="Arial"/>
          <w:lang w:val="it-IT"/>
        </w:rPr>
        <w:t>”</w:t>
      </w:r>
      <w:r w:rsidR="00C22ED6">
        <w:rPr>
          <w:rFonts w:ascii="Arial" w:hAnsi="Arial" w:cs="Arial"/>
          <w:lang w:val="it-IT"/>
        </w:rPr>
        <w:t xml:space="preserve"> dichiara</w:t>
      </w:r>
      <w:r w:rsidR="00C22ED6" w:rsidRPr="00C22ED6">
        <w:rPr>
          <w:rFonts w:ascii="Arial" w:hAnsi="Arial" w:cs="Arial"/>
          <w:lang w:val="it-IT"/>
        </w:rPr>
        <w:t xml:space="preserve"> </w:t>
      </w:r>
      <w:r w:rsidR="00C22ED6" w:rsidRPr="00C22ED6">
        <w:rPr>
          <w:rFonts w:ascii="Arial" w:hAnsi="Arial" w:cs="Arial"/>
          <w:b/>
          <w:lang w:val="it-IT"/>
        </w:rPr>
        <w:t>Matteo Castelli</w:t>
      </w:r>
      <w:r w:rsidR="00C22ED6">
        <w:rPr>
          <w:rFonts w:ascii="Arial" w:hAnsi="Arial" w:cs="Arial"/>
          <w:lang w:val="it-IT"/>
        </w:rPr>
        <w:t xml:space="preserve">, </w:t>
      </w:r>
      <w:r w:rsidR="00C22ED6" w:rsidRPr="00C22ED6">
        <w:rPr>
          <w:rFonts w:ascii="Arial" w:hAnsi="Arial" w:cs="Arial"/>
          <w:b/>
          <w:lang w:val="it-IT"/>
        </w:rPr>
        <w:t>Direttore Marketing Consumer</w:t>
      </w:r>
      <w:r w:rsidR="00C22ED6">
        <w:rPr>
          <w:rFonts w:ascii="Arial" w:hAnsi="Arial" w:cs="Arial"/>
          <w:lang w:val="it-IT"/>
        </w:rPr>
        <w:t>.</w:t>
      </w:r>
    </w:p>
    <w:p w14:paraId="676EBCE6" w14:textId="00DD6A11" w:rsidR="00FD369A" w:rsidRDefault="005E38DD" w:rsidP="008C713B">
      <w:pPr>
        <w:autoSpaceDE w:val="0"/>
        <w:autoSpaceDN w:val="0"/>
        <w:spacing w:line="360" w:lineRule="auto"/>
        <w:rPr>
          <w:rFonts w:ascii="Arial" w:hAnsi="Arial" w:cs="Arial"/>
          <w:lang w:val="it-IT"/>
        </w:rPr>
      </w:pPr>
      <w:r w:rsidRPr="00C22ED6">
        <w:rPr>
          <w:rFonts w:ascii="Arial" w:hAnsi="Arial" w:cs="Arial"/>
          <w:lang w:val="it-IT"/>
        </w:rPr>
        <w:t xml:space="preserve">Entro Maggio 2017 saranno disponibili </w:t>
      </w:r>
      <w:r w:rsidR="00FA0C94" w:rsidRPr="00C22ED6">
        <w:rPr>
          <w:rFonts w:ascii="Arial" w:hAnsi="Arial" w:cs="Arial"/>
          <w:lang w:val="it-IT"/>
        </w:rPr>
        <w:t xml:space="preserve">28 </w:t>
      </w:r>
      <w:r w:rsidRPr="00C22ED6">
        <w:rPr>
          <w:rFonts w:ascii="Arial" w:hAnsi="Arial" w:cs="Arial"/>
          <w:lang w:val="it-IT"/>
        </w:rPr>
        <w:t>misure, che copriranno l’</w:t>
      </w:r>
      <w:r w:rsidR="00517480" w:rsidRPr="00C22ED6">
        <w:rPr>
          <w:rFonts w:ascii="Arial" w:hAnsi="Arial" w:cs="Arial"/>
          <w:lang w:val="it-IT"/>
        </w:rPr>
        <w:t xml:space="preserve">82% </w:t>
      </w:r>
      <w:r w:rsidRPr="00C22ED6">
        <w:rPr>
          <w:rFonts w:ascii="Arial" w:hAnsi="Arial" w:cs="Arial"/>
          <w:lang w:val="it-IT"/>
        </w:rPr>
        <w:t>del mercato</w:t>
      </w:r>
      <w:r w:rsidR="00CE77EA" w:rsidRPr="00C22ED6">
        <w:rPr>
          <w:rFonts w:ascii="Arial" w:hAnsi="Arial" w:cs="Arial"/>
          <w:lang w:val="it-IT"/>
        </w:rPr>
        <w:t>.</w:t>
      </w:r>
    </w:p>
    <w:p w14:paraId="5413DCE1" w14:textId="77777777" w:rsidR="00C23A61" w:rsidRPr="00C22ED6" w:rsidRDefault="00C23A61" w:rsidP="008C713B">
      <w:pPr>
        <w:autoSpaceDE w:val="0"/>
        <w:autoSpaceDN w:val="0"/>
        <w:spacing w:line="360" w:lineRule="auto"/>
        <w:rPr>
          <w:rFonts w:ascii="Arial" w:hAnsi="Arial" w:cs="Arial"/>
          <w:lang w:val="it-IT"/>
        </w:rPr>
      </w:pPr>
    </w:p>
    <w:tbl>
      <w:tblPr>
        <w:tblStyle w:val="Grigliatabella"/>
        <w:tblW w:w="9504" w:type="dxa"/>
        <w:tblLook w:val="04A0" w:firstRow="1" w:lastRow="0" w:firstColumn="1" w:lastColumn="0" w:noHBand="0" w:noVBand="1"/>
      </w:tblPr>
      <w:tblGrid>
        <w:gridCol w:w="1728"/>
        <w:gridCol w:w="3024"/>
        <w:gridCol w:w="1728"/>
        <w:gridCol w:w="3024"/>
      </w:tblGrid>
      <w:tr w:rsidR="00C22ED6" w:rsidRPr="00C22ED6" w14:paraId="49B16931" w14:textId="40595C5F" w:rsidTr="00F1562B">
        <w:tc>
          <w:tcPr>
            <w:tcW w:w="1728" w:type="dxa"/>
          </w:tcPr>
          <w:p w14:paraId="70E31C64" w14:textId="37C555B1" w:rsidR="00F1562B" w:rsidRPr="00C22ED6" w:rsidRDefault="00F1562B" w:rsidP="005E38DD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2ED6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5E38DD" w:rsidRPr="00C22ED6">
              <w:rPr>
                <w:rFonts w:ascii="Arial" w:hAnsi="Arial" w:cs="Arial"/>
                <w:b/>
                <w:sz w:val="20"/>
                <w:szCs w:val="20"/>
              </w:rPr>
              <w:t>a di disponibilità</w:t>
            </w:r>
          </w:p>
        </w:tc>
        <w:tc>
          <w:tcPr>
            <w:tcW w:w="3024" w:type="dxa"/>
          </w:tcPr>
          <w:p w14:paraId="53C50DDB" w14:textId="50122E6D" w:rsidR="00F1562B" w:rsidRPr="00C22ED6" w:rsidRDefault="005E38DD" w:rsidP="005E38DD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2ED6">
              <w:rPr>
                <w:rFonts w:ascii="Arial" w:hAnsi="Arial" w:cs="Arial"/>
                <w:b/>
                <w:sz w:val="20"/>
                <w:szCs w:val="20"/>
              </w:rPr>
              <w:t>Misura</w:t>
            </w:r>
          </w:p>
        </w:tc>
        <w:tc>
          <w:tcPr>
            <w:tcW w:w="1728" w:type="dxa"/>
          </w:tcPr>
          <w:p w14:paraId="4AD9D8FC" w14:textId="47CCB395" w:rsidR="00F1562B" w:rsidRPr="00C22ED6" w:rsidRDefault="005E38DD" w:rsidP="00F1562B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2ED6">
              <w:rPr>
                <w:rFonts w:ascii="Arial" w:hAnsi="Arial" w:cs="Arial"/>
                <w:b/>
                <w:sz w:val="20"/>
                <w:szCs w:val="20"/>
              </w:rPr>
              <w:t>Data di disponibilità</w:t>
            </w:r>
          </w:p>
        </w:tc>
        <w:tc>
          <w:tcPr>
            <w:tcW w:w="3024" w:type="dxa"/>
          </w:tcPr>
          <w:p w14:paraId="3F3975B0" w14:textId="0B140728" w:rsidR="00F1562B" w:rsidRPr="00C22ED6" w:rsidRDefault="005E38DD" w:rsidP="005E38DD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2ED6">
              <w:rPr>
                <w:rFonts w:ascii="Arial" w:hAnsi="Arial" w:cs="Arial"/>
                <w:b/>
                <w:sz w:val="20"/>
                <w:szCs w:val="20"/>
              </w:rPr>
              <w:t>Misura</w:t>
            </w:r>
          </w:p>
        </w:tc>
      </w:tr>
      <w:tr w:rsidR="00C22ED6" w:rsidRPr="00C22ED6" w14:paraId="3839EE92" w14:textId="1A64BE3A" w:rsidTr="00F1562B">
        <w:tc>
          <w:tcPr>
            <w:tcW w:w="1728" w:type="dxa"/>
          </w:tcPr>
          <w:p w14:paraId="361D6673" w14:textId="7C70E79E" w:rsidR="00F1562B" w:rsidRPr="00C22ED6" w:rsidRDefault="00C23A61" w:rsidP="00C23A6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20F027F7" w14:textId="05B8D51A" w:rsidR="00F1562B" w:rsidRPr="00C22ED6" w:rsidRDefault="00F1562B" w:rsidP="00F1562B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225/75R16C – 118/116R</w:t>
            </w:r>
          </w:p>
        </w:tc>
        <w:tc>
          <w:tcPr>
            <w:tcW w:w="1728" w:type="dxa"/>
          </w:tcPr>
          <w:p w14:paraId="4493C301" w14:textId="15638FCA" w:rsidR="00F1562B" w:rsidRPr="00C22ED6" w:rsidRDefault="00C23A61" w:rsidP="005E38D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25E27005" w14:textId="2A4A23D7" w:rsidR="00F1562B" w:rsidRPr="00C22ED6" w:rsidRDefault="00131643" w:rsidP="00F1562B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235/65R16C – 115/113S</w:t>
            </w:r>
          </w:p>
        </w:tc>
      </w:tr>
      <w:tr w:rsidR="00131643" w:rsidRPr="00C22ED6" w14:paraId="35E6C018" w14:textId="7AF02516" w:rsidTr="00F1562B">
        <w:tc>
          <w:tcPr>
            <w:tcW w:w="1728" w:type="dxa"/>
          </w:tcPr>
          <w:p w14:paraId="21822797" w14:textId="51917AE7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19358973" w14:textId="0938C98C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225/75R16C – 121/120R</w:t>
            </w:r>
          </w:p>
        </w:tc>
        <w:tc>
          <w:tcPr>
            <w:tcW w:w="1728" w:type="dxa"/>
          </w:tcPr>
          <w:p w14:paraId="4739298A" w14:textId="278FEA49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69CBC2D0" w14:textId="0031F08C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185/75R16C – 104/102R</w:t>
            </w:r>
          </w:p>
        </w:tc>
      </w:tr>
      <w:tr w:rsidR="00131643" w:rsidRPr="00C22ED6" w14:paraId="472E08FB" w14:textId="48FD8F49" w:rsidTr="00F1562B">
        <w:tc>
          <w:tcPr>
            <w:tcW w:w="1728" w:type="dxa"/>
          </w:tcPr>
          <w:p w14:paraId="70641ED9" w14:textId="5524BF7E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4C006BA2" w14:textId="16FA9487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175/75R16C – 101/99R</w:t>
            </w:r>
          </w:p>
        </w:tc>
        <w:tc>
          <w:tcPr>
            <w:tcW w:w="1728" w:type="dxa"/>
          </w:tcPr>
          <w:p w14:paraId="261D634E" w14:textId="571BCB4F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426EC8AC" w14:textId="16E5EBD3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195R14C – 106/104S</w:t>
            </w:r>
          </w:p>
        </w:tc>
      </w:tr>
      <w:tr w:rsidR="00131643" w:rsidRPr="00C22ED6" w14:paraId="4DAF5B33" w14:textId="2F155091" w:rsidTr="00F1562B">
        <w:tc>
          <w:tcPr>
            <w:tcW w:w="1728" w:type="dxa"/>
          </w:tcPr>
          <w:p w14:paraId="4C1B6AF0" w14:textId="7DD31ADD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52E2464A" w14:textId="6E25EBEB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185R14C – 102/100R</w:t>
            </w:r>
          </w:p>
        </w:tc>
        <w:tc>
          <w:tcPr>
            <w:tcW w:w="1728" w:type="dxa"/>
          </w:tcPr>
          <w:p w14:paraId="0F8D1C19" w14:textId="605378E7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5FC09B99" w14:textId="0D94C3A4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205/70R15C – 106/104S</w:t>
            </w:r>
          </w:p>
        </w:tc>
      </w:tr>
      <w:tr w:rsidR="00131643" w:rsidRPr="00C22ED6" w14:paraId="0012E3B0" w14:textId="7B1E1D03" w:rsidTr="00F1562B">
        <w:tc>
          <w:tcPr>
            <w:tcW w:w="1728" w:type="dxa"/>
          </w:tcPr>
          <w:p w14:paraId="5B4A96F5" w14:textId="26BA852D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578E1044" w14:textId="10E7C043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195/60R16C – 99/97H</w:t>
            </w:r>
          </w:p>
        </w:tc>
        <w:tc>
          <w:tcPr>
            <w:tcW w:w="1728" w:type="dxa"/>
          </w:tcPr>
          <w:p w14:paraId="2902DFAC" w14:textId="7D5222A3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4D4BF386" w14:textId="1F221F16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205/75R16C – 110/108R</w:t>
            </w:r>
          </w:p>
        </w:tc>
      </w:tr>
      <w:tr w:rsidR="00131643" w:rsidRPr="00C22ED6" w14:paraId="48375EC4" w14:textId="75CA4A32" w:rsidTr="00F1562B">
        <w:tc>
          <w:tcPr>
            <w:tcW w:w="1728" w:type="dxa"/>
          </w:tcPr>
          <w:p w14:paraId="6FB58863" w14:textId="5C93D09C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223E39AD" w14:textId="0FF281E0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195/65R16C - 104/102T</w:t>
            </w:r>
          </w:p>
        </w:tc>
        <w:tc>
          <w:tcPr>
            <w:tcW w:w="1728" w:type="dxa"/>
          </w:tcPr>
          <w:p w14:paraId="670A75B8" w14:textId="5307B68F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6C8D5D4B" w14:textId="7B0F56FA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215/60R16C – 103/101T</w:t>
            </w:r>
          </w:p>
        </w:tc>
      </w:tr>
      <w:tr w:rsidR="00131643" w:rsidRPr="00C22ED6" w14:paraId="50E337C5" w14:textId="0640ED47" w:rsidTr="00F1562B">
        <w:tc>
          <w:tcPr>
            <w:tcW w:w="1728" w:type="dxa"/>
          </w:tcPr>
          <w:p w14:paraId="0F3B5288" w14:textId="2DB6D288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71D9F043" w14:textId="77AA4FC2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195/70R15C – 104/102S</w:t>
            </w:r>
          </w:p>
        </w:tc>
        <w:tc>
          <w:tcPr>
            <w:tcW w:w="1728" w:type="dxa"/>
          </w:tcPr>
          <w:p w14:paraId="65D688D4" w14:textId="69F362CA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03DB66FB" w14:textId="1688ABE2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215/65R16C – 106/104T</w:t>
            </w:r>
          </w:p>
        </w:tc>
      </w:tr>
      <w:tr w:rsidR="00131643" w:rsidRPr="00C22ED6" w14:paraId="17703499" w14:textId="130A68C7" w:rsidTr="00F1562B">
        <w:tc>
          <w:tcPr>
            <w:tcW w:w="1728" w:type="dxa"/>
          </w:tcPr>
          <w:p w14:paraId="37DF5D1B" w14:textId="59B7676C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0F0394CD" w14:textId="63931CCC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195/75R16C – 107/105T</w:t>
            </w:r>
          </w:p>
        </w:tc>
        <w:tc>
          <w:tcPr>
            <w:tcW w:w="1728" w:type="dxa"/>
          </w:tcPr>
          <w:p w14:paraId="6AEC0301" w14:textId="3921CD3A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1162599C" w14:textId="1436C8B5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215/65R16C – 109/107T</w:t>
            </w:r>
          </w:p>
        </w:tc>
      </w:tr>
      <w:tr w:rsidR="00131643" w:rsidRPr="00C22ED6" w14:paraId="26986FEB" w14:textId="05147BCF" w:rsidTr="00F1562B">
        <w:tc>
          <w:tcPr>
            <w:tcW w:w="1728" w:type="dxa"/>
          </w:tcPr>
          <w:p w14:paraId="469E86EE" w14:textId="6C078707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4AAB3EE3" w14:textId="6D25585E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205/65R15C – 102/100T</w:t>
            </w:r>
          </w:p>
        </w:tc>
        <w:tc>
          <w:tcPr>
            <w:tcW w:w="1728" w:type="dxa"/>
          </w:tcPr>
          <w:p w14:paraId="4C4FEC42" w14:textId="60CB0ED9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7DDE6845" w14:textId="14BE85CC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225/65R16C – 112/110T</w:t>
            </w:r>
          </w:p>
        </w:tc>
      </w:tr>
      <w:tr w:rsidR="00131643" w:rsidRPr="00C22ED6" w14:paraId="7902B08D" w14:textId="5853287C" w:rsidTr="00F1562B">
        <w:tc>
          <w:tcPr>
            <w:tcW w:w="1728" w:type="dxa"/>
          </w:tcPr>
          <w:p w14:paraId="410A61F6" w14:textId="77D40DDA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465D012B" w14:textId="43926F9D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205/65R16C – 103/101T</w:t>
            </w:r>
          </w:p>
        </w:tc>
        <w:tc>
          <w:tcPr>
            <w:tcW w:w="1728" w:type="dxa"/>
          </w:tcPr>
          <w:p w14:paraId="50DB2B38" w14:textId="18CE82F3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0944FBFC" w14:textId="6C1FA5DE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185/75R14C – 102/100R1</w:t>
            </w:r>
          </w:p>
        </w:tc>
      </w:tr>
      <w:tr w:rsidR="00131643" w:rsidRPr="00C22ED6" w14:paraId="0C504BA0" w14:textId="3683AB58" w:rsidTr="00F1562B">
        <w:tc>
          <w:tcPr>
            <w:tcW w:w="1728" w:type="dxa"/>
          </w:tcPr>
          <w:p w14:paraId="773BFA92" w14:textId="1D245D35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53089BDD" w14:textId="108FD5A3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205/65R16C – 107/105T</w:t>
            </w:r>
          </w:p>
        </w:tc>
        <w:tc>
          <w:tcPr>
            <w:tcW w:w="1728" w:type="dxa"/>
          </w:tcPr>
          <w:p w14:paraId="7B73C77B" w14:textId="458274E6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74511CAB" w14:textId="152B2FC9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205/75R16C – 113/111R</w:t>
            </w:r>
          </w:p>
        </w:tc>
      </w:tr>
      <w:tr w:rsidR="00131643" w:rsidRPr="00C22ED6" w14:paraId="30926B78" w14:textId="66C5B3D2" w:rsidTr="00F1562B">
        <w:tc>
          <w:tcPr>
            <w:tcW w:w="1728" w:type="dxa"/>
          </w:tcPr>
          <w:p w14:paraId="7F71E089" w14:textId="17187B38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4EBFD670" w14:textId="1ACEC395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215/70R15C – 109/107S</w:t>
            </w:r>
          </w:p>
        </w:tc>
        <w:tc>
          <w:tcPr>
            <w:tcW w:w="1728" w:type="dxa"/>
          </w:tcPr>
          <w:p w14:paraId="7FE5ABF7" w14:textId="13307A3C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Marzo ‘17</w:t>
            </w:r>
          </w:p>
        </w:tc>
        <w:tc>
          <w:tcPr>
            <w:tcW w:w="3024" w:type="dxa"/>
          </w:tcPr>
          <w:p w14:paraId="4990681D" w14:textId="34D4E87E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225/70R15C – 112/110S</w:t>
            </w:r>
          </w:p>
        </w:tc>
      </w:tr>
      <w:tr w:rsidR="00131643" w:rsidRPr="00C22ED6" w14:paraId="693D53EA" w14:textId="43F6FECC" w:rsidTr="00F1562B">
        <w:tc>
          <w:tcPr>
            <w:tcW w:w="1728" w:type="dxa"/>
          </w:tcPr>
          <w:p w14:paraId="7C3199D4" w14:textId="213BD954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15E765E9" w14:textId="089F94FD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215/75R16C – 113/111R</w:t>
            </w:r>
          </w:p>
        </w:tc>
        <w:tc>
          <w:tcPr>
            <w:tcW w:w="1728" w:type="dxa"/>
          </w:tcPr>
          <w:p w14:paraId="77E4620E" w14:textId="45CE1029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Aprile ‘17</w:t>
            </w:r>
          </w:p>
        </w:tc>
        <w:tc>
          <w:tcPr>
            <w:tcW w:w="3024" w:type="dxa"/>
          </w:tcPr>
          <w:p w14:paraId="75999EEA" w14:textId="66E805A2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215/60R17C – 109/107T</w:t>
            </w:r>
          </w:p>
        </w:tc>
      </w:tr>
      <w:tr w:rsidR="00131643" w:rsidRPr="00C22ED6" w14:paraId="47D10C42" w14:textId="217269CD" w:rsidTr="00F1562B">
        <w:tc>
          <w:tcPr>
            <w:tcW w:w="1728" w:type="dxa"/>
          </w:tcPr>
          <w:p w14:paraId="70C921A7" w14:textId="100D3805" w:rsidR="00131643" w:rsidRPr="00C22ED6" w:rsidRDefault="00C23A61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Disponibile</w:t>
            </w:r>
          </w:p>
        </w:tc>
        <w:tc>
          <w:tcPr>
            <w:tcW w:w="3024" w:type="dxa"/>
          </w:tcPr>
          <w:p w14:paraId="6F1D0837" w14:textId="67BB1696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215/75R16C – 116/114R</w:t>
            </w:r>
          </w:p>
        </w:tc>
        <w:tc>
          <w:tcPr>
            <w:tcW w:w="1728" w:type="dxa"/>
          </w:tcPr>
          <w:p w14:paraId="07B329B4" w14:textId="0D4ECFDC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Maggio ‘17</w:t>
            </w:r>
          </w:p>
        </w:tc>
        <w:tc>
          <w:tcPr>
            <w:tcW w:w="3024" w:type="dxa"/>
          </w:tcPr>
          <w:p w14:paraId="3D519B70" w14:textId="6E2D0C36" w:rsidR="00131643" w:rsidRPr="00C22ED6" w:rsidRDefault="00131643" w:rsidP="001316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22ED6">
              <w:rPr>
                <w:rFonts w:ascii="Arial" w:hAnsi="Arial" w:cs="Arial"/>
                <w:sz w:val="20"/>
                <w:szCs w:val="20"/>
              </w:rPr>
              <w:t>225/55R17C – 104/102H</w:t>
            </w:r>
          </w:p>
        </w:tc>
      </w:tr>
    </w:tbl>
    <w:p w14:paraId="495A280A" w14:textId="77777777" w:rsidR="00F1562B" w:rsidRPr="00C22ED6" w:rsidRDefault="00F1562B" w:rsidP="003B7FCC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7A4C1238" w14:textId="77777777" w:rsidR="0078171D" w:rsidRPr="00945D5A" w:rsidRDefault="0078171D" w:rsidP="0078171D">
      <w:pPr>
        <w:rPr>
          <w:rFonts w:ascii="Arial" w:hAnsi="Arial" w:cs="Arial"/>
          <w:b/>
          <w:color w:val="58595B"/>
          <w:lang w:val="it-IT"/>
        </w:rPr>
      </w:pPr>
      <w:r w:rsidRPr="00945D5A">
        <w:rPr>
          <w:rFonts w:ascii="Arial" w:hAnsi="Arial" w:cs="Arial"/>
          <w:b/>
          <w:color w:val="0055A4"/>
          <w:sz w:val="18"/>
          <w:szCs w:val="18"/>
          <w:lang w:val="it-IT"/>
        </w:rPr>
        <w:t>Goodyear</w:t>
      </w:r>
    </w:p>
    <w:p w14:paraId="5363DB37" w14:textId="7E0744B6" w:rsidR="0078171D" w:rsidRPr="00242A23" w:rsidRDefault="0078171D" w:rsidP="0078171D">
      <w:pPr>
        <w:pStyle w:val="Nessunaspaziatura1"/>
        <w:jc w:val="both"/>
        <w:rPr>
          <w:rFonts w:ascii="Arial" w:hAnsi="Arial" w:cs="Arial"/>
          <w:color w:val="404040" w:themeColor="text1" w:themeTint="BF"/>
          <w:sz w:val="18"/>
          <w:szCs w:val="18"/>
          <w:lang w:val="it-IT"/>
        </w:rPr>
      </w:pPr>
      <w:r w:rsidRPr="00242A23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Goodyear è una delle principali aziende costruttrici di pneumatici del mondo. Ha un organico di circa 66.000 dipendenti </w:t>
      </w:r>
      <w:r w:rsidR="00175D27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>e fabbrica i suoi prodotti in 48 stabilimenti in 21</w:t>
      </w:r>
      <w:r w:rsidRPr="00242A23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14:paraId="38DDA3F9" w14:textId="77777777" w:rsidR="0078171D" w:rsidRPr="00242A23" w:rsidRDefault="0078171D" w:rsidP="0078171D">
      <w:pPr>
        <w:jc w:val="both"/>
        <w:rPr>
          <w:rFonts w:ascii="Arial" w:hAnsi="Arial" w:cs="Arial"/>
          <w:color w:val="404040" w:themeColor="text1" w:themeTint="BF"/>
          <w:sz w:val="18"/>
          <w:szCs w:val="18"/>
          <w:lang w:val="it-IT"/>
        </w:rPr>
      </w:pPr>
      <w:r w:rsidRPr="00242A23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Per maggiori informazioni su Goodyear e i suoi prodotti, visitare il sito </w:t>
      </w:r>
      <w:hyperlink r:id="rId8" w:history="1">
        <w:r w:rsidRPr="00242A23">
          <w:rPr>
            <w:rStyle w:val="Collegamentoipertestuale"/>
            <w:rFonts w:ascii="Arial" w:hAnsi="Arial" w:cs="Arial"/>
            <w:color w:val="404040" w:themeColor="text1" w:themeTint="BF"/>
            <w:sz w:val="18"/>
            <w:szCs w:val="18"/>
            <w:lang w:val="it-IT"/>
          </w:rPr>
          <w:t>http://www.goodyear.eu</w:t>
        </w:r>
      </w:hyperlink>
      <w:r w:rsidRPr="00242A23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>.</w:t>
      </w:r>
    </w:p>
    <w:p w14:paraId="29E85CE1" w14:textId="77777777" w:rsidR="0078171D" w:rsidRPr="00945D5A" w:rsidRDefault="0078171D" w:rsidP="0078171D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9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14:paraId="523FD9E9" w14:textId="38AFD8ED" w:rsidR="0078171D" w:rsidRPr="002F5F09" w:rsidRDefault="0078171D" w:rsidP="0078171D">
      <w:pPr>
        <w:rPr>
          <w:rFonts w:ascii="Arial" w:hAnsi="Arial" w:cs="Arial"/>
          <w:color w:val="58595B"/>
          <w:lang w:val="it-IT"/>
        </w:rPr>
      </w:pPr>
      <w:r w:rsidRPr="002F5F09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2F5F09">
        <w:rPr>
          <w:rFonts w:ascii="Arial" w:hAnsi="Arial" w:cs="Arial"/>
          <w:color w:val="404040"/>
          <w:sz w:val="18"/>
          <w:szCs w:val="18"/>
          <w:lang w:val="it-IT"/>
        </w:rPr>
        <w:t xml:space="preserve"> </w:t>
      </w:r>
      <w:proofErr w:type="spellStart"/>
      <w:r w:rsidRPr="002F5F09">
        <w:rPr>
          <w:rFonts w:ascii="Arial" w:hAnsi="Arial" w:cs="Arial"/>
          <w:color w:val="404040"/>
          <w:sz w:val="18"/>
          <w:szCs w:val="18"/>
          <w:lang w:val="it-IT"/>
        </w:rPr>
        <w:t>Twitter</w:t>
      </w:r>
      <w:proofErr w:type="spellEnd"/>
      <w:r w:rsidRPr="002F5F09">
        <w:rPr>
          <w:rFonts w:ascii="Arial" w:hAnsi="Arial" w:cs="Arial"/>
          <w:color w:val="404040"/>
          <w:sz w:val="18"/>
          <w:szCs w:val="18"/>
          <w:lang w:val="it-IT"/>
        </w:rPr>
        <w:t xml:space="preserve"> @</w:t>
      </w:r>
      <w:proofErr w:type="spellStart"/>
      <w:r w:rsidRPr="002F5F09">
        <w:rPr>
          <w:rFonts w:ascii="Arial" w:hAnsi="Arial" w:cs="Arial"/>
          <w:color w:val="404040"/>
          <w:sz w:val="18"/>
          <w:szCs w:val="18"/>
          <w:lang w:val="it-IT"/>
        </w:rPr>
        <w:t>Goodyearpress</w:t>
      </w:r>
      <w:proofErr w:type="spellEnd"/>
      <w:r w:rsidRPr="002F5F09">
        <w:rPr>
          <w:rFonts w:ascii="Arial" w:hAnsi="Arial" w:cs="Arial"/>
          <w:color w:val="404040"/>
          <w:sz w:val="18"/>
          <w:szCs w:val="18"/>
          <w:lang w:val="it-IT"/>
        </w:rPr>
        <w:t xml:space="preserve"> e unitevi al nostro </w:t>
      </w:r>
      <w:proofErr w:type="spellStart"/>
      <w:r w:rsidRPr="002F5F09">
        <w:rPr>
          <w:rFonts w:ascii="Arial" w:hAnsi="Arial" w:cs="Arial"/>
          <w:color w:val="404040"/>
          <w:sz w:val="18"/>
          <w:szCs w:val="18"/>
          <w:lang w:val="it-IT"/>
        </w:rPr>
        <w:t>ThinkGoodMobility</w:t>
      </w:r>
      <w:proofErr w:type="spellEnd"/>
      <w:r w:rsidRPr="002F5F09">
        <w:rPr>
          <w:rFonts w:ascii="Arial" w:hAnsi="Arial" w:cs="Arial"/>
          <w:color w:val="404040"/>
          <w:sz w:val="18"/>
          <w:szCs w:val="18"/>
          <w:lang w:val="it-IT"/>
        </w:rPr>
        <w:t xml:space="preserve"> </w:t>
      </w:r>
      <w:proofErr w:type="spellStart"/>
      <w:r w:rsidRPr="002F5F09">
        <w:rPr>
          <w:rFonts w:ascii="Arial" w:hAnsi="Arial" w:cs="Arial"/>
          <w:color w:val="404040"/>
          <w:sz w:val="18"/>
          <w:szCs w:val="18"/>
          <w:lang w:val="it-IT"/>
        </w:rPr>
        <w:t>group</w:t>
      </w:r>
      <w:proofErr w:type="spellEnd"/>
      <w:r w:rsidRPr="002F5F09">
        <w:rPr>
          <w:rFonts w:ascii="Arial" w:hAnsi="Arial" w:cs="Arial"/>
          <w:color w:val="404040"/>
          <w:sz w:val="18"/>
          <w:szCs w:val="18"/>
          <w:lang w:val="it-IT"/>
        </w:rPr>
        <w:t xml:space="preserve"> su </w:t>
      </w:r>
      <w:proofErr w:type="spellStart"/>
      <w:r w:rsidRPr="002F5F09">
        <w:rPr>
          <w:rFonts w:ascii="Arial" w:hAnsi="Arial" w:cs="Arial"/>
          <w:color w:val="404040"/>
          <w:sz w:val="18"/>
          <w:szCs w:val="18"/>
          <w:lang w:val="it-IT"/>
        </w:rPr>
        <w:t>LinkedIn</w:t>
      </w:r>
      <w:proofErr w:type="spellEnd"/>
    </w:p>
    <w:p w14:paraId="029E19B9" w14:textId="77777777" w:rsidR="008C713B" w:rsidRPr="002F5F09" w:rsidRDefault="008C713B">
      <w:pPr>
        <w:rPr>
          <w:lang w:val="it-IT"/>
        </w:rPr>
      </w:pPr>
    </w:p>
    <w:sectPr w:rsidR="008C713B" w:rsidRPr="002F5F09" w:rsidSect="00C22ED6">
      <w:headerReference w:type="default" r:id="rId10"/>
      <w:pgSz w:w="12240" w:h="15840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C52D" w14:textId="77777777" w:rsidR="004C3618" w:rsidRDefault="004C3618" w:rsidP="00C20EE5">
      <w:pPr>
        <w:spacing w:after="0" w:line="240" w:lineRule="auto"/>
      </w:pPr>
      <w:r>
        <w:separator/>
      </w:r>
    </w:p>
  </w:endnote>
  <w:endnote w:type="continuationSeparator" w:id="0">
    <w:p w14:paraId="24780E81" w14:textId="77777777" w:rsidR="004C3618" w:rsidRDefault="004C3618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84295" w14:textId="77777777" w:rsidR="004C3618" w:rsidRDefault="004C3618" w:rsidP="00C20EE5">
      <w:pPr>
        <w:spacing w:after="0" w:line="240" w:lineRule="auto"/>
      </w:pPr>
      <w:r>
        <w:separator/>
      </w:r>
    </w:p>
  </w:footnote>
  <w:footnote w:type="continuationSeparator" w:id="0">
    <w:p w14:paraId="0886A86F" w14:textId="77777777" w:rsidR="004C3618" w:rsidRDefault="004C3618" w:rsidP="00C20EE5">
      <w:pPr>
        <w:spacing w:after="0" w:line="240" w:lineRule="auto"/>
      </w:pPr>
      <w:r>
        <w:continuationSeparator/>
      </w:r>
    </w:p>
  </w:footnote>
  <w:footnote w:id="1">
    <w:p w14:paraId="3BC080B3" w14:textId="698EB59A" w:rsidR="00CE1067" w:rsidRPr="00CD7E63" w:rsidRDefault="00CE106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D7E63">
        <w:rPr>
          <w:lang w:val="it-IT"/>
        </w:rPr>
        <w:t xml:space="preserve"> </w:t>
      </w:r>
      <w:r w:rsidR="00CD7E63" w:rsidRPr="00CD7E63">
        <w:rPr>
          <w:lang w:val="it-IT"/>
        </w:rPr>
        <w:t>Rispetto al predecessore</w:t>
      </w:r>
      <w:r w:rsidR="00107CBD" w:rsidRPr="00CD7E63">
        <w:rPr>
          <w:lang w:val="it-IT"/>
        </w:rPr>
        <w:t xml:space="preserve"> (</w:t>
      </w:r>
      <w:r w:rsidR="00CD7E63" w:rsidRPr="00CD7E63">
        <w:rPr>
          <w:lang w:val="it-IT"/>
        </w:rPr>
        <w:t xml:space="preserve">test interno di </w:t>
      </w:r>
      <w:r w:rsidR="00285307" w:rsidRPr="00CD7E63">
        <w:rPr>
          <w:lang w:val="it-IT"/>
        </w:rPr>
        <w:t>Goodyear</w:t>
      </w:r>
      <w:r w:rsidR="00692954" w:rsidRPr="00CD7E63">
        <w:rPr>
          <w:lang w:val="it-IT"/>
        </w:rPr>
        <w:t xml:space="preserve">). </w:t>
      </w:r>
      <w:r w:rsidR="00CD7E63">
        <w:rPr>
          <w:lang w:val="it-IT"/>
        </w:rPr>
        <w:t>Effettuato su un</w:t>
      </w:r>
      <w:r w:rsidR="009C2BE0">
        <w:rPr>
          <w:lang w:val="it-IT"/>
        </w:rPr>
        <w:t xml:space="preserve"> Renault Master;</w:t>
      </w:r>
      <w:r w:rsidR="00692954" w:rsidRPr="00CD7E63">
        <w:rPr>
          <w:lang w:val="it-IT"/>
        </w:rPr>
        <w:t xml:space="preserve"> </w:t>
      </w:r>
      <w:r w:rsidR="00CD7E63" w:rsidRPr="00CD7E63">
        <w:rPr>
          <w:lang w:val="it-IT"/>
        </w:rPr>
        <w:t>data del rapporto finale</w:t>
      </w:r>
      <w:r w:rsidR="00285307" w:rsidRPr="00CD7E63">
        <w:rPr>
          <w:lang w:val="it-IT"/>
        </w:rPr>
        <w:t xml:space="preserve">: </w:t>
      </w:r>
      <w:r w:rsidR="00CD7E63" w:rsidRPr="00CD7E63">
        <w:rPr>
          <w:lang w:val="it-IT"/>
        </w:rPr>
        <w:t>s</w:t>
      </w:r>
      <w:r w:rsidR="00692954" w:rsidRPr="00CD7E63">
        <w:rPr>
          <w:lang w:val="it-IT"/>
        </w:rPr>
        <w:t>e</w:t>
      </w:r>
      <w:r w:rsidR="00CD7E63" w:rsidRPr="00CD7E63">
        <w:rPr>
          <w:lang w:val="it-IT"/>
        </w:rPr>
        <w:t>t</w:t>
      </w:r>
      <w:r w:rsidR="00692954" w:rsidRPr="00CD7E63">
        <w:rPr>
          <w:lang w:val="it-IT"/>
        </w:rPr>
        <w:t>temb</w:t>
      </w:r>
      <w:r w:rsidR="00CD7E63" w:rsidRPr="00CD7E63">
        <w:rPr>
          <w:lang w:val="it-IT"/>
        </w:rPr>
        <w:t>r</w:t>
      </w:r>
      <w:r w:rsidR="00692954" w:rsidRPr="00CD7E63">
        <w:rPr>
          <w:lang w:val="it-IT"/>
        </w:rPr>
        <w:t>e 2015</w:t>
      </w:r>
      <w:r w:rsidR="00285307" w:rsidRPr="00CD7E63">
        <w:rPr>
          <w:lang w:val="it-IT"/>
        </w:rPr>
        <w:t xml:space="preserve">. </w:t>
      </w:r>
      <w:r w:rsidR="00CD7E63" w:rsidRPr="009E3F84">
        <w:rPr>
          <w:lang w:val="it-IT"/>
        </w:rPr>
        <w:t>Misura:</w:t>
      </w:r>
      <w:r w:rsidR="00692954" w:rsidRPr="009E3F84">
        <w:rPr>
          <w:lang w:val="it-IT"/>
        </w:rPr>
        <w:t xml:space="preserve"> 215/65R16C 109T, </w:t>
      </w:r>
      <w:r w:rsidR="00CD7E63" w:rsidRPr="009E3F84">
        <w:rPr>
          <w:lang w:val="it-IT"/>
        </w:rPr>
        <w:t>conclusion</w:t>
      </w:r>
      <w:r w:rsidR="00852AB5" w:rsidRPr="009E3F84">
        <w:rPr>
          <w:lang w:val="it-IT"/>
        </w:rPr>
        <w:t>i</w:t>
      </w:r>
      <w:r w:rsidR="00CD7E63" w:rsidRPr="009E3F84">
        <w:rPr>
          <w:lang w:val="it-IT"/>
        </w:rPr>
        <w:t xml:space="preserve"> ottenute dopo aver percorso</w:t>
      </w:r>
      <w:r w:rsidR="009C2BE0">
        <w:rPr>
          <w:lang w:val="it-IT"/>
        </w:rPr>
        <w:t xml:space="preserve"> 38.</w:t>
      </w:r>
      <w:r w:rsidR="00692954" w:rsidRPr="009E3F84">
        <w:rPr>
          <w:lang w:val="it-IT"/>
        </w:rPr>
        <w:t>407 km</w:t>
      </w:r>
      <w:r w:rsidR="008426A4" w:rsidRPr="009E3F84">
        <w:rPr>
          <w:lang w:val="it-IT"/>
        </w:rPr>
        <w:t>.</w:t>
      </w:r>
      <w:r w:rsidR="00692954" w:rsidRPr="009E3F84">
        <w:rPr>
          <w:lang w:val="it-IT"/>
        </w:rPr>
        <w:t xml:space="preserve"> </w:t>
      </w:r>
      <w:r w:rsidR="00CD7E63" w:rsidRPr="00CD7E63">
        <w:rPr>
          <w:lang w:val="it-IT"/>
        </w:rPr>
        <w:t>Differenza di chi</w:t>
      </w:r>
      <w:r w:rsidR="00B22B74">
        <w:rPr>
          <w:lang w:val="it-IT"/>
        </w:rPr>
        <w:t xml:space="preserve">lometraggio finale stimato tra </w:t>
      </w:r>
      <w:proofErr w:type="spellStart"/>
      <w:r w:rsidR="00B22B74">
        <w:rPr>
          <w:lang w:val="it-IT"/>
        </w:rPr>
        <w:t>Efficientgrip</w:t>
      </w:r>
      <w:proofErr w:type="spellEnd"/>
      <w:r w:rsidR="00B22B74">
        <w:rPr>
          <w:lang w:val="it-IT"/>
        </w:rPr>
        <w:t xml:space="preserve"> Cargo e</w:t>
      </w:r>
      <w:r w:rsidR="00CD7E63" w:rsidRPr="00CD7E63">
        <w:rPr>
          <w:lang w:val="it-IT"/>
        </w:rPr>
        <w:t xml:space="preserve"> Cargo Marathon: </w:t>
      </w:r>
      <w:r w:rsidR="009C2BE0">
        <w:rPr>
          <w:lang w:val="it-IT"/>
        </w:rPr>
        <w:t>9.</w:t>
      </w:r>
      <w:r w:rsidR="00692954" w:rsidRPr="00CD7E63">
        <w:rPr>
          <w:lang w:val="it-IT"/>
        </w:rPr>
        <w:t>323 km (</w:t>
      </w:r>
      <w:r w:rsidR="00CD7E63" w:rsidRPr="00CD7E63">
        <w:rPr>
          <w:lang w:val="it-IT"/>
        </w:rPr>
        <w:t>anteriore</w:t>
      </w:r>
      <w:r w:rsidR="00692954" w:rsidRPr="00CD7E63">
        <w:rPr>
          <w:lang w:val="it-IT"/>
        </w:rPr>
        <w:t xml:space="preserve">) </w:t>
      </w:r>
      <w:r w:rsidR="00CD7E63" w:rsidRPr="00CD7E63">
        <w:rPr>
          <w:lang w:val="it-IT"/>
        </w:rPr>
        <w:t>e</w:t>
      </w:r>
      <w:r w:rsidR="009C2BE0">
        <w:rPr>
          <w:lang w:val="it-IT"/>
        </w:rPr>
        <w:t xml:space="preserve"> 22.</w:t>
      </w:r>
      <w:r w:rsidR="00692954" w:rsidRPr="00CD7E63">
        <w:rPr>
          <w:lang w:val="it-IT"/>
        </w:rPr>
        <w:t>320km</w:t>
      </w:r>
      <w:r w:rsidR="005A3AD1" w:rsidRPr="00CD7E63">
        <w:rPr>
          <w:lang w:val="it-IT"/>
        </w:rPr>
        <w:t xml:space="preserve"> (</w:t>
      </w:r>
      <w:r w:rsidR="00CD7E63" w:rsidRPr="00CD7E63">
        <w:rPr>
          <w:lang w:val="it-IT"/>
        </w:rPr>
        <w:t>posteriore</w:t>
      </w:r>
      <w:r w:rsidR="00692954" w:rsidRPr="00CD7E63">
        <w:rPr>
          <w:lang w:val="it-IT"/>
        </w:rPr>
        <w:t>).</w:t>
      </w:r>
    </w:p>
  </w:footnote>
  <w:footnote w:id="2">
    <w:p w14:paraId="6316217A" w14:textId="353F20A8" w:rsidR="00CD70CB" w:rsidRPr="00CD7E63" w:rsidRDefault="00CD70C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D7E63">
        <w:rPr>
          <w:lang w:val="it-IT"/>
        </w:rPr>
        <w:t xml:space="preserve"> </w:t>
      </w:r>
      <w:r w:rsidR="00CD7E63" w:rsidRPr="00CD7E63">
        <w:rPr>
          <w:lang w:val="it-IT"/>
        </w:rPr>
        <w:t>Fonte</w:t>
      </w:r>
      <w:r w:rsidR="005A3AD1" w:rsidRPr="00CD7E63">
        <w:rPr>
          <w:lang w:val="it-IT"/>
        </w:rPr>
        <w:t xml:space="preserve">: </w:t>
      </w:r>
      <w:r w:rsidR="003352FE" w:rsidRPr="00CD7E63">
        <w:rPr>
          <w:lang w:val="it-IT"/>
        </w:rPr>
        <w:t xml:space="preserve">TGI TMS Consumer Segmentation, </w:t>
      </w:r>
      <w:r w:rsidR="00CD7E63" w:rsidRPr="00CD7E63">
        <w:rPr>
          <w:lang w:val="it-IT"/>
        </w:rPr>
        <w:t xml:space="preserve">studio realizzato in Germania, Sudafrica, </w:t>
      </w:r>
      <w:r w:rsidR="003352FE" w:rsidRPr="00CD7E63">
        <w:rPr>
          <w:lang w:val="it-IT"/>
        </w:rPr>
        <w:t>Franc</w:t>
      </w:r>
      <w:r w:rsidR="00CD7E63" w:rsidRPr="00CD7E63">
        <w:rPr>
          <w:lang w:val="it-IT"/>
        </w:rPr>
        <w:t>ia</w:t>
      </w:r>
      <w:r w:rsidR="003352FE" w:rsidRPr="00CD7E63">
        <w:rPr>
          <w:lang w:val="it-IT"/>
        </w:rPr>
        <w:t xml:space="preserve"> – </w:t>
      </w:r>
      <w:r w:rsidR="00CD7E63" w:rsidRPr="00CD7E63">
        <w:rPr>
          <w:lang w:val="it-IT"/>
        </w:rPr>
        <w:t>nel</w:t>
      </w:r>
      <w:r w:rsidR="005A3AD1" w:rsidRPr="00CD7E63">
        <w:rPr>
          <w:lang w:val="it-IT"/>
        </w:rPr>
        <w:t xml:space="preserve"> </w:t>
      </w:r>
      <w:r w:rsidR="003352FE" w:rsidRPr="00CD7E63">
        <w:rPr>
          <w:lang w:val="it-IT"/>
        </w:rPr>
        <w:t>2014</w:t>
      </w:r>
    </w:p>
  </w:footnote>
  <w:footnote w:id="3">
    <w:p w14:paraId="2B3BBE6A" w14:textId="51A8F384" w:rsidR="00570B87" w:rsidRPr="00391010" w:rsidRDefault="00570B8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91010">
        <w:rPr>
          <w:lang w:val="it-IT"/>
        </w:rPr>
        <w:t xml:space="preserve"> </w:t>
      </w:r>
      <w:r w:rsidR="00CD7E63" w:rsidRPr="00391010">
        <w:rPr>
          <w:lang w:val="it-IT"/>
        </w:rPr>
        <w:t>Rispet</w:t>
      </w:r>
      <w:r w:rsidR="0035560A" w:rsidRPr="00391010">
        <w:rPr>
          <w:lang w:val="it-IT"/>
        </w:rPr>
        <w:t>t</w:t>
      </w:r>
      <w:r w:rsidR="00CD7E63" w:rsidRPr="00391010">
        <w:rPr>
          <w:lang w:val="it-IT"/>
        </w:rPr>
        <w:t>o al predecessore</w:t>
      </w:r>
      <w:r w:rsidRPr="00391010">
        <w:rPr>
          <w:lang w:val="it-IT"/>
        </w:rPr>
        <w:t>.</w:t>
      </w:r>
    </w:p>
  </w:footnote>
  <w:footnote w:id="4">
    <w:p w14:paraId="7DA4FCBA" w14:textId="303375F0" w:rsidR="001F5E0F" w:rsidRPr="00153956" w:rsidRDefault="001F5E0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E36B3B">
        <w:rPr>
          <w:lang w:val="it-IT"/>
        </w:rPr>
        <w:t xml:space="preserve"> </w:t>
      </w:r>
      <w:r w:rsidR="00692954" w:rsidRPr="00E36B3B">
        <w:rPr>
          <w:lang w:val="it-IT"/>
        </w:rPr>
        <w:t>Bas</w:t>
      </w:r>
      <w:r w:rsidR="00E36B3B" w:rsidRPr="00E36B3B">
        <w:rPr>
          <w:lang w:val="it-IT"/>
        </w:rPr>
        <w:t>ato su test interni di Resistenza al rotolamento CE</w:t>
      </w:r>
      <w:r w:rsidR="00852AB5">
        <w:rPr>
          <w:lang w:val="it-IT"/>
        </w:rPr>
        <w:t xml:space="preserve">, </w:t>
      </w:r>
      <w:r w:rsidR="00E36B3B" w:rsidRPr="00153956">
        <w:rPr>
          <w:lang w:val="it-IT"/>
        </w:rPr>
        <w:t>differe</w:t>
      </w:r>
      <w:r w:rsidR="00852AB5">
        <w:rPr>
          <w:lang w:val="it-IT"/>
        </w:rPr>
        <w:t>nza di prestazioni relative tra</w:t>
      </w:r>
      <w:r w:rsidR="00692954" w:rsidRPr="00153956">
        <w:rPr>
          <w:lang w:val="it-IT"/>
        </w:rPr>
        <w:t xml:space="preserve"> Goodyear Cargo G26 </w:t>
      </w:r>
      <w:r w:rsidR="00852AB5">
        <w:rPr>
          <w:lang w:val="it-IT"/>
        </w:rPr>
        <w:t xml:space="preserve">215/75R16C </w:t>
      </w:r>
      <w:r w:rsidR="00852AB5" w:rsidRPr="00153956">
        <w:rPr>
          <w:lang w:val="it-IT"/>
        </w:rPr>
        <w:t xml:space="preserve">113/111R </w:t>
      </w:r>
      <w:r w:rsidR="00153956">
        <w:rPr>
          <w:lang w:val="it-IT"/>
        </w:rPr>
        <w:t xml:space="preserve">e il </w:t>
      </w:r>
      <w:r w:rsidR="00692954" w:rsidRPr="00153956">
        <w:rPr>
          <w:lang w:val="it-IT"/>
        </w:rPr>
        <w:t xml:space="preserve">Goodyear </w:t>
      </w:r>
      <w:proofErr w:type="spellStart"/>
      <w:r w:rsidR="00692954" w:rsidRPr="00153956">
        <w:rPr>
          <w:lang w:val="it-IT"/>
        </w:rPr>
        <w:t>Efficient</w:t>
      </w:r>
      <w:r w:rsidR="004872E3">
        <w:rPr>
          <w:lang w:val="it-IT"/>
        </w:rPr>
        <w:t>G</w:t>
      </w:r>
      <w:bookmarkStart w:id="0" w:name="_GoBack"/>
      <w:bookmarkEnd w:id="0"/>
      <w:r w:rsidR="00692954" w:rsidRPr="00153956">
        <w:rPr>
          <w:lang w:val="it-IT"/>
        </w:rPr>
        <w:t>rip</w:t>
      </w:r>
      <w:proofErr w:type="spellEnd"/>
      <w:r w:rsidR="00692954" w:rsidRPr="00153956">
        <w:rPr>
          <w:lang w:val="it-IT"/>
        </w:rPr>
        <w:t xml:space="preserve"> Cargo</w:t>
      </w:r>
      <w:r w:rsidR="00890B14" w:rsidRPr="00153956">
        <w:rPr>
          <w:lang w:val="it-IT"/>
        </w:rPr>
        <w:t xml:space="preserve"> (2015)</w:t>
      </w:r>
      <w:r w:rsidR="00692954" w:rsidRPr="00153956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6A91" w14:textId="32084F48" w:rsidR="00C20EE5" w:rsidRDefault="00C22ED6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1848BC" wp14:editId="5BFA9102">
              <wp:simplePos x="0" y="0"/>
              <wp:positionH relativeFrom="margin">
                <wp:posOffset>-90805</wp:posOffset>
              </wp:positionH>
              <wp:positionV relativeFrom="paragraph">
                <wp:posOffset>645795</wp:posOffset>
              </wp:positionV>
              <wp:extent cx="260032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5B274" w14:textId="5A76051A" w:rsidR="00C20EE5" w:rsidRPr="00C20EE5" w:rsidRDefault="00DD4877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 w:rsidRPr="00DD487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COMUNICATO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STAMPA</w:t>
                          </w:r>
                          <w:r w:rsidR="00C20EE5" w:rsidRPr="00C20EE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0E184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50.85pt;width:204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" filled="f" stroked="f">
              <v:textbox>
                <w:txbxContent>
                  <w:p w14:paraId="0075B274" w14:textId="5A76051A" w:rsidR="00C20EE5" w:rsidRPr="00C20EE5" w:rsidRDefault="00DD4877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 w:rsidRPr="00DD487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COMUNICATO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STAMPA</w:t>
                    </w:r>
                    <w:r w:rsidR="00C20EE5" w:rsidRPr="00C20EE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 xml:space="preserve"> RELEASE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089087" wp14:editId="642EF711">
              <wp:simplePos x="0" y="0"/>
              <wp:positionH relativeFrom="margin">
                <wp:posOffset>0</wp:posOffset>
              </wp:positionH>
              <wp:positionV relativeFrom="paragraph">
                <wp:posOffset>559435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3655CCE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4.05pt" to="317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" strokecolor="#0055a4" strokeweight="4.5pt">
              <v:stroke joinstyle="miter"/>
              <w10:wrap anchorx="margin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43C05BB6" wp14:editId="645D56BD">
          <wp:simplePos x="0" y="0"/>
          <wp:positionH relativeFrom="page">
            <wp:posOffset>4943475</wp:posOffset>
          </wp:positionH>
          <wp:positionV relativeFrom="paragraph">
            <wp:posOffset>474345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517A7000" wp14:editId="7F43BAAC">
          <wp:simplePos x="0" y="0"/>
          <wp:positionH relativeFrom="column">
            <wp:posOffset>4024630</wp:posOffset>
          </wp:positionH>
          <wp:positionV relativeFrom="paragraph">
            <wp:posOffset>986155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3" behindDoc="0" locked="0" layoutInCell="1" allowOverlap="1" wp14:anchorId="42E56B1E" wp14:editId="2AF60D53">
          <wp:simplePos x="0" y="0"/>
          <wp:positionH relativeFrom="page">
            <wp:posOffset>0</wp:posOffset>
          </wp:positionH>
          <wp:positionV relativeFrom="paragraph">
            <wp:posOffset>-548640</wp:posOffset>
          </wp:positionV>
          <wp:extent cx="7772400" cy="2181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N_8267sq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078" b="25858"/>
                  <a:stretch/>
                </pic:blipFill>
                <pic:spPr bwMode="auto">
                  <a:xfrm>
                    <a:off x="0" y="0"/>
                    <a:ext cx="7772400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CCC"/>
    <w:multiLevelType w:val="hybridMultilevel"/>
    <w:tmpl w:val="1854A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53DF9"/>
    <w:rsid w:val="000573E5"/>
    <w:rsid w:val="000660A4"/>
    <w:rsid w:val="00071826"/>
    <w:rsid w:val="0009703B"/>
    <w:rsid w:val="000A24B6"/>
    <w:rsid w:val="000E4A09"/>
    <w:rsid w:val="000E5040"/>
    <w:rsid w:val="000E7D03"/>
    <w:rsid w:val="000F07D2"/>
    <w:rsid w:val="00100DAF"/>
    <w:rsid w:val="00107CBD"/>
    <w:rsid w:val="00112175"/>
    <w:rsid w:val="00131643"/>
    <w:rsid w:val="00134C60"/>
    <w:rsid w:val="00153956"/>
    <w:rsid w:val="00175D27"/>
    <w:rsid w:val="00180D6F"/>
    <w:rsid w:val="001B34FF"/>
    <w:rsid w:val="001E06F5"/>
    <w:rsid w:val="001E7F5F"/>
    <w:rsid w:val="001F5E0F"/>
    <w:rsid w:val="00233D2C"/>
    <w:rsid w:val="00242A23"/>
    <w:rsid w:val="00245690"/>
    <w:rsid w:val="00255EBE"/>
    <w:rsid w:val="00256D6D"/>
    <w:rsid w:val="0026456B"/>
    <w:rsid w:val="00285307"/>
    <w:rsid w:val="00291F76"/>
    <w:rsid w:val="002A2B37"/>
    <w:rsid w:val="002A7BB7"/>
    <w:rsid w:val="002B7067"/>
    <w:rsid w:val="002C5C7B"/>
    <w:rsid w:val="002F5F09"/>
    <w:rsid w:val="00330CB1"/>
    <w:rsid w:val="003352FE"/>
    <w:rsid w:val="0035560A"/>
    <w:rsid w:val="00391010"/>
    <w:rsid w:val="003A6960"/>
    <w:rsid w:val="003B7FCC"/>
    <w:rsid w:val="003F297F"/>
    <w:rsid w:val="003F5AFC"/>
    <w:rsid w:val="0041284A"/>
    <w:rsid w:val="00417C0C"/>
    <w:rsid w:val="0042408D"/>
    <w:rsid w:val="004749F7"/>
    <w:rsid w:val="004872E3"/>
    <w:rsid w:val="00492D41"/>
    <w:rsid w:val="004A0821"/>
    <w:rsid w:val="004C3618"/>
    <w:rsid w:val="004E708A"/>
    <w:rsid w:val="004F7398"/>
    <w:rsid w:val="00517480"/>
    <w:rsid w:val="00522222"/>
    <w:rsid w:val="00570B87"/>
    <w:rsid w:val="005746A6"/>
    <w:rsid w:val="0057665D"/>
    <w:rsid w:val="00587BCC"/>
    <w:rsid w:val="005933D5"/>
    <w:rsid w:val="005A0FB4"/>
    <w:rsid w:val="005A3AD1"/>
    <w:rsid w:val="005E38DD"/>
    <w:rsid w:val="005F339F"/>
    <w:rsid w:val="0060697D"/>
    <w:rsid w:val="0060732F"/>
    <w:rsid w:val="00640EC3"/>
    <w:rsid w:val="0065376A"/>
    <w:rsid w:val="00682F6A"/>
    <w:rsid w:val="00692954"/>
    <w:rsid w:val="006A7CE5"/>
    <w:rsid w:val="006B413B"/>
    <w:rsid w:val="006C056C"/>
    <w:rsid w:val="00742215"/>
    <w:rsid w:val="007533E5"/>
    <w:rsid w:val="00757AE2"/>
    <w:rsid w:val="00763710"/>
    <w:rsid w:val="00770E5F"/>
    <w:rsid w:val="0078171D"/>
    <w:rsid w:val="007A0F47"/>
    <w:rsid w:val="007A7D68"/>
    <w:rsid w:val="007D247E"/>
    <w:rsid w:val="007D701B"/>
    <w:rsid w:val="007E356C"/>
    <w:rsid w:val="007E56ED"/>
    <w:rsid w:val="00806346"/>
    <w:rsid w:val="00807883"/>
    <w:rsid w:val="008426A4"/>
    <w:rsid w:val="00852AB5"/>
    <w:rsid w:val="008659B0"/>
    <w:rsid w:val="00866B4D"/>
    <w:rsid w:val="00884114"/>
    <w:rsid w:val="00886949"/>
    <w:rsid w:val="00890035"/>
    <w:rsid w:val="00890B14"/>
    <w:rsid w:val="008B42C3"/>
    <w:rsid w:val="008C713B"/>
    <w:rsid w:val="008E413B"/>
    <w:rsid w:val="009124D6"/>
    <w:rsid w:val="00912730"/>
    <w:rsid w:val="00927FE5"/>
    <w:rsid w:val="00961478"/>
    <w:rsid w:val="00976A64"/>
    <w:rsid w:val="009C2BE0"/>
    <w:rsid w:val="009C34DC"/>
    <w:rsid w:val="009E3F84"/>
    <w:rsid w:val="00A0537C"/>
    <w:rsid w:val="00A07648"/>
    <w:rsid w:val="00A144EB"/>
    <w:rsid w:val="00A42079"/>
    <w:rsid w:val="00A43947"/>
    <w:rsid w:val="00A55465"/>
    <w:rsid w:val="00A81683"/>
    <w:rsid w:val="00A83189"/>
    <w:rsid w:val="00A84945"/>
    <w:rsid w:val="00AA4FA3"/>
    <w:rsid w:val="00AD13BA"/>
    <w:rsid w:val="00B20621"/>
    <w:rsid w:val="00B22B74"/>
    <w:rsid w:val="00B232A4"/>
    <w:rsid w:val="00B52DCB"/>
    <w:rsid w:val="00B637B6"/>
    <w:rsid w:val="00BA0D28"/>
    <w:rsid w:val="00BA2A1A"/>
    <w:rsid w:val="00BA7A1A"/>
    <w:rsid w:val="00BF7689"/>
    <w:rsid w:val="00C02543"/>
    <w:rsid w:val="00C17D82"/>
    <w:rsid w:val="00C20EE5"/>
    <w:rsid w:val="00C22ED6"/>
    <w:rsid w:val="00C23A61"/>
    <w:rsid w:val="00C45DD6"/>
    <w:rsid w:val="00C531FC"/>
    <w:rsid w:val="00C81F25"/>
    <w:rsid w:val="00C87D9B"/>
    <w:rsid w:val="00CD70CB"/>
    <w:rsid w:val="00CD7E63"/>
    <w:rsid w:val="00CE1067"/>
    <w:rsid w:val="00CE77EA"/>
    <w:rsid w:val="00CE7972"/>
    <w:rsid w:val="00D42069"/>
    <w:rsid w:val="00D514D1"/>
    <w:rsid w:val="00D6175A"/>
    <w:rsid w:val="00D9231C"/>
    <w:rsid w:val="00D97883"/>
    <w:rsid w:val="00DA453D"/>
    <w:rsid w:val="00DD2BD3"/>
    <w:rsid w:val="00DD4877"/>
    <w:rsid w:val="00E260DC"/>
    <w:rsid w:val="00E36B3B"/>
    <w:rsid w:val="00E93789"/>
    <w:rsid w:val="00ED2500"/>
    <w:rsid w:val="00ED2541"/>
    <w:rsid w:val="00ED2888"/>
    <w:rsid w:val="00F01614"/>
    <w:rsid w:val="00F1562B"/>
    <w:rsid w:val="00F638FD"/>
    <w:rsid w:val="00F739AD"/>
    <w:rsid w:val="00F800E4"/>
    <w:rsid w:val="00FA0C94"/>
    <w:rsid w:val="00FA7618"/>
    <w:rsid w:val="00FB2F17"/>
    <w:rsid w:val="00FC6A64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D5F40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0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70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70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A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A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A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A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AE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AE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A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80D6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800E4"/>
    <w:rPr>
      <w:color w:val="0563C1" w:themeColor="hyperlink"/>
      <w:u w:val="single"/>
    </w:rPr>
  </w:style>
  <w:style w:type="paragraph" w:customStyle="1" w:styleId="Nessunaspaziatura1">
    <w:name w:val="Nessuna spaziatura1"/>
    <w:rsid w:val="0078171D"/>
    <w:pPr>
      <w:spacing w:after="0" w:line="240" w:lineRule="auto"/>
    </w:pPr>
    <w:rPr>
      <w:rFonts w:ascii="Calibri" w:eastAsia="Times New Roman" w:hAnsi="Calibri" w:cs="Times New Roman"/>
      <w:lang w:val="fr-BE"/>
    </w:rPr>
  </w:style>
  <w:style w:type="paragraph" w:styleId="Paragrafoelenco">
    <w:name w:val="List Paragraph"/>
    <w:basedOn w:val="Normale"/>
    <w:uiPriority w:val="34"/>
    <w:qFormat/>
    <w:rsid w:val="009C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A40F-6AB7-42B4-8F90-936FF6FC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3</cp:revision>
  <cp:lastPrinted>2017-01-19T16:52:00Z</cp:lastPrinted>
  <dcterms:created xsi:type="dcterms:W3CDTF">2017-01-30T16:36:00Z</dcterms:created>
  <dcterms:modified xsi:type="dcterms:W3CDTF">2017-01-31T09:47:00Z</dcterms:modified>
</cp:coreProperties>
</file>