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3A" w:rsidRPr="00FB1577" w:rsidRDefault="006D303A" w:rsidP="00E40967">
      <w:pPr>
        <w:ind w:left="1077" w:right="1230"/>
        <w:jc w:val="center"/>
        <w:rPr>
          <w:rFonts w:cs="AdiHaus"/>
          <w:b/>
          <w:bCs/>
          <w:snapToGrid/>
          <w:sz w:val="32"/>
          <w:szCs w:val="32"/>
          <w:lang w:val="en-GB"/>
        </w:rPr>
      </w:pPr>
    </w:p>
    <w:p w:rsidR="00F11783" w:rsidRPr="00760D3B" w:rsidRDefault="00760D3B" w:rsidP="00760D3B">
      <w:pPr>
        <w:spacing w:line="360" w:lineRule="auto"/>
        <w:jc w:val="center"/>
        <w:rPr>
          <w:b/>
          <w:sz w:val="28"/>
          <w:lang w:val="en-GB"/>
        </w:rPr>
      </w:pPr>
      <w:proofErr w:type="gramStart"/>
      <w:r w:rsidRPr="00760D3B">
        <w:rPr>
          <w:b/>
          <w:sz w:val="28"/>
          <w:lang w:val="en-GB"/>
        </w:rPr>
        <w:t>adidas</w:t>
      </w:r>
      <w:proofErr w:type="gramEnd"/>
      <w:r w:rsidRPr="00760D3B">
        <w:rPr>
          <w:b/>
          <w:sz w:val="28"/>
          <w:lang w:val="en-GB"/>
        </w:rPr>
        <w:t xml:space="preserve"> launches "Boston stands as one" t-shirt to support </w:t>
      </w:r>
      <w:r>
        <w:rPr>
          <w:b/>
          <w:sz w:val="28"/>
          <w:lang w:val="en-GB"/>
        </w:rPr>
        <w:br/>
      </w:r>
      <w:r w:rsidRPr="00760D3B">
        <w:rPr>
          <w:b/>
          <w:sz w:val="28"/>
          <w:lang w:val="en-GB"/>
        </w:rPr>
        <w:t>Boston effort</w:t>
      </w:r>
    </w:p>
    <w:p w:rsidR="00760D3B" w:rsidRDefault="00760D3B" w:rsidP="00F11783">
      <w:pPr>
        <w:jc w:val="both"/>
        <w:rPr>
          <w:b/>
          <w:bCs/>
          <w:sz w:val="32"/>
          <w:szCs w:val="32"/>
          <w:lang w:val="en-GB"/>
        </w:rPr>
      </w:pPr>
    </w:p>
    <w:p w:rsidR="00F11783" w:rsidRPr="00222B8E" w:rsidRDefault="00C95060" w:rsidP="00F11783">
      <w:pPr>
        <w:spacing w:line="360" w:lineRule="auto"/>
        <w:jc w:val="both"/>
        <w:rPr>
          <w:lang w:val="en-GB"/>
        </w:rPr>
      </w:pPr>
      <w:r>
        <w:rPr>
          <w:b/>
          <w:bCs/>
          <w:lang w:val="en-GB"/>
        </w:rPr>
        <w:t>Boston/Portland, April 18</w:t>
      </w:r>
      <w:r w:rsidR="00F11783">
        <w:rPr>
          <w:b/>
          <w:bCs/>
          <w:lang w:val="en-GB"/>
        </w:rPr>
        <w:t xml:space="preserve">, 2013 </w:t>
      </w:r>
      <w:r w:rsidR="00F11783">
        <w:rPr>
          <w:lang w:val="en-GB"/>
        </w:rPr>
        <w:t>–</w:t>
      </w:r>
      <w:r w:rsidR="00222B8E">
        <w:rPr>
          <w:lang w:val="en-GB"/>
        </w:rPr>
        <w:t xml:space="preserve"> </w:t>
      </w:r>
      <w:r w:rsidR="00F11783">
        <w:rPr>
          <w:lang w:val="en-GB"/>
        </w:rPr>
        <w:t>adidas</w:t>
      </w:r>
      <w:r w:rsidR="00222B8E">
        <w:rPr>
          <w:lang w:val="en-GB"/>
        </w:rPr>
        <w:t xml:space="preserve">, Official Sponsor of the Boston Athletic Association and the Boston Marathon, </w:t>
      </w:r>
      <w:r w:rsidR="007F575F">
        <w:rPr>
          <w:lang w:val="en-GB"/>
        </w:rPr>
        <w:t xml:space="preserve">today </w:t>
      </w:r>
      <w:r w:rsidR="00222B8E">
        <w:rPr>
          <w:lang w:val="en-GB"/>
        </w:rPr>
        <w:t>announced the launch of</w:t>
      </w:r>
      <w:r w:rsidR="00F11783">
        <w:rPr>
          <w:lang w:val="en-GB"/>
        </w:rPr>
        <w:t xml:space="preserve"> a limited edition “Boston stands as one” t-shirt</w:t>
      </w:r>
      <w:r w:rsidR="00222B8E">
        <w:rPr>
          <w:lang w:val="en-GB"/>
        </w:rPr>
        <w:t>.</w:t>
      </w:r>
      <w:r w:rsidR="007F575F">
        <w:rPr>
          <w:lang w:val="en-GB"/>
        </w:rPr>
        <w:t xml:space="preserve"> </w:t>
      </w:r>
      <w:r w:rsidR="00F11783">
        <w:rPr>
          <w:lang w:val="en-GB"/>
        </w:rPr>
        <w:t xml:space="preserve"> </w:t>
      </w:r>
      <w:r w:rsidR="00222B8E">
        <w:rPr>
          <w:lang w:val="en-GB"/>
        </w:rPr>
        <w:t xml:space="preserve">The t-shirt </w:t>
      </w:r>
      <w:r w:rsidR="007F575F">
        <w:rPr>
          <w:lang w:val="en-GB"/>
        </w:rPr>
        <w:t xml:space="preserve">is </w:t>
      </w:r>
      <w:r w:rsidR="00222B8E">
        <w:rPr>
          <w:lang w:val="en-GB"/>
        </w:rPr>
        <w:t xml:space="preserve">available </w:t>
      </w:r>
      <w:r w:rsidR="00EE21CF" w:rsidRPr="00760D3B">
        <w:rPr>
          <w:lang w:val="en-GB"/>
        </w:rPr>
        <w:t xml:space="preserve">at </w:t>
      </w:r>
      <w:hyperlink r:id="rId7" w:history="1">
        <w:r w:rsidR="00EE21CF" w:rsidRPr="00EE21CF">
          <w:rPr>
            <w:rStyle w:val="Hyperlink"/>
            <w:lang w:val="en-GB"/>
          </w:rPr>
          <w:t>baa.org</w:t>
        </w:r>
      </w:hyperlink>
      <w:r w:rsidR="00EE21CF">
        <w:rPr>
          <w:lang w:val="en-GB"/>
        </w:rPr>
        <w:t xml:space="preserve"> and </w:t>
      </w:r>
      <w:hyperlink r:id="rId8" w:history="1">
        <w:r w:rsidR="00EE21CF" w:rsidRPr="00A06F87">
          <w:rPr>
            <w:rStyle w:val="Hyperlink"/>
            <w:lang w:val="en-GB"/>
          </w:rPr>
          <w:t>adidas.com</w:t>
        </w:r>
      </w:hyperlink>
      <w:r w:rsidR="00EE21CF">
        <w:rPr>
          <w:lang w:val="en-GB"/>
        </w:rPr>
        <w:t xml:space="preserve"> </w:t>
      </w:r>
      <w:r w:rsidR="00F11783">
        <w:rPr>
          <w:lang w:val="en-GB"/>
        </w:rPr>
        <w:t>with 100% of the proceeds going to The One Fund Boston, Inc. in order to help the people most affected by the tragic events.</w:t>
      </w:r>
      <w:r w:rsidR="00222B8E">
        <w:rPr>
          <w:lang w:val="en-GB"/>
        </w:rPr>
        <w:t xml:space="preserve">  The One Fund Boston, Inc. was announced yesterday to support those affected by the tragic events that occurred in Boston on Monday.</w:t>
      </w:r>
    </w:p>
    <w:p w:rsidR="00F11783" w:rsidRDefault="00F11783" w:rsidP="00F11783">
      <w:pPr>
        <w:spacing w:line="360" w:lineRule="auto"/>
        <w:jc w:val="both"/>
        <w:rPr>
          <w:lang w:val="en-GB"/>
        </w:rPr>
      </w:pPr>
    </w:p>
    <w:p w:rsidR="00F11783" w:rsidRDefault="00F11783" w:rsidP="00F11783">
      <w:pPr>
        <w:spacing w:line="360" w:lineRule="auto"/>
        <w:jc w:val="both"/>
        <w:rPr>
          <w:lang w:val="en-GB"/>
        </w:rPr>
      </w:pPr>
      <w:r>
        <w:rPr>
          <w:lang w:val="en-GB"/>
        </w:rPr>
        <w:t>“The selflessness and compassion demonstrated by the</w:t>
      </w:r>
      <w:r w:rsidR="00DC6180">
        <w:rPr>
          <w:lang w:val="en-GB"/>
        </w:rPr>
        <w:t xml:space="preserve"> City of Boston, the first responders, the </w:t>
      </w:r>
      <w:r>
        <w:rPr>
          <w:lang w:val="en-GB"/>
        </w:rPr>
        <w:t xml:space="preserve">Boston Athletic Association (BAA) and all marathon volunteers in providing assistance to the injured have stuck with us and inspired us,” said Patrik Nilsson, President </w:t>
      </w:r>
      <w:proofErr w:type="gramStart"/>
      <w:r>
        <w:rPr>
          <w:lang w:val="en-GB"/>
        </w:rPr>
        <w:t>adidas</w:t>
      </w:r>
      <w:proofErr w:type="gramEnd"/>
      <w:r>
        <w:rPr>
          <w:lang w:val="en-GB"/>
        </w:rPr>
        <w:t xml:space="preserve"> America. “We commend </w:t>
      </w:r>
      <w:r w:rsidR="00DC6180">
        <w:rPr>
          <w:lang w:val="en-GB"/>
        </w:rPr>
        <w:t>Boston - and of those associated with the City an</w:t>
      </w:r>
      <w:bookmarkStart w:id="0" w:name="_GoBack"/>
      <w:bookmarkEnd w:id="0"/>
      <w:r w:rsidR="00DC6180">
        <w:rPr>
          <w:lang w:val="en-GB"/>
        </w:rPr>
        <w:t xml:space="preserve">d the Marathon - </w:t>
      </w:r>
      <w:r>
        <w:rPr>
          <w:lang w:val="en-GB"/>
        </w:rPr>
        <w:t>for their reaction to this very challenging situation.  </w:t>
      </w:r>
      <w:r w:rsidR="00DC6180">
        <w:rPr>
          <w:lang w:val="en-GB"/>
        </w:rPr>
        <w:t xml:space="preserve">We </w:t>
      </w:r>
      <w:r w:rsidR="00D861DA">
        <w:rPr>
          <w:lang w:val="en-GB"/>
        </w:rPr>
        <w:t xml:space="preserve">applaud </w:t>
      </w:r>
      <w:r w:rsidR="00DC6180">
        <w:rPr>
          <w:lang w:val="en-GB"/>
        </w:rPr>
        <w:t>them for standing together as one on Monday and in the days which have followed</w:t>
      </w:r>
      <w:r>
        <w:rPr>
          <w:lang w:val="en-GB"/>
        </w:rPr>
        <w:t>.”</w:t>
      </w:r>
    </w:p>
    <w:p w:rsidR="00F11783" w:rsidRDefault="00F11783" w:rsidP="00F11783">
      <w:pPr>
        <w:spacing w:line="360" w:lineRule="auto"/>
        <w:jc w:val="both"/>
        <w:rPr>
          <w:lang w:val="en-GB"/>
        </w:rPr>
      </w:pPr>
    </w:p>
    <w:p w:rsidR="00F11783" w:rsidRDefault="00F11783" w:rsidP="00F11783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limited edition “Boston stands as one” t-shirt is available now </w:t>
      </w:r>
      <w:r w:rsidRPr="00760D3B">
        <w:rPr>
          <w:lang w:val="en-GB"/>
        </w:rPr>
        <w:t xml:space="preserve">at </w:t>
      </w:r>
      <w:hyperlink r:id="rId9" w:history="1">
        <w:r w:rsidR="000370FD" w:rsidRPr="00EE21CF">
          <w:rPr>
            <w:rStyle w:val="Hyperlink"/>
            <w:lang w:val="en-GB"/>
          </w:rPr>
          <w:t>baa.org</w:t>
        </w:r>
      </w:hyperlink>
      <w:r w:rsidR="000370FD">
        <w:rPr>
          <w:lang w:val="en-GB"/>
        </w:rPr>
        <w:t xml:space="preserve"> and </w:t>
      </w:r>
      <w:hyperlink r:id="rId10" w:history="1">
        <w:r w:rsidRPr="00A06F87">
          <w:rPr>
            <w:rStyle w:val="Hyperlink"/>
            <w:lang w:val="en-GB"/>
          </w:rPr>
          <w:t>adidas.com</w:t>
        </w:r>
      </w:hyperlink>
      <w:r w:rsidRPr="000370FD">
        <w:rPr>
          <w:lang w:val="en-GB"/>
        </w:rPr>
        <w:t xml:space="preserve"> </w:t>
      </w:r>
      <w:r>
        <w:rPr>
          <w:lang w:val="en-GB"/>
        </w:rPr>
        <w:t>for $</w:t>
      </w:r>
      <w:r w:rsidR="004B550C">
        <w:rPr>
          <w:lang w:val="en-GB"/>
        </w:rPr>
        <w:t>26.20</w:t>
      </w:r>
      <w:r>
        <w:rPr>
          <w:lang w:val="en-GB"/>
        </w:rPr>
        <w:t>.</w:t>
      </w:r>
    </w:p>
    <w:p w:rsidR="00F11783" w:rsidRDefault="00F11783" w:rsidP="00E40967">
      <w:pPr>
        <w:ind w:right="-32"/>
        <w:jc w:val="center"/>
        <w:rPr>
          <w:rFonts w:cs="AdiHaus"/>
          <w:b/>
          <w:bCs/>
          <w:snapToGrid/>
          <w:sz w:val="28"/>
          <w:szCs w:val="32"/>
          <w:lang w:val="en-GB"/>
        </w:rPr>
      </w:pPr>
    </w:p>
    <w:p w:rsidR="006D303A" w:rsidRPr="00C95060" w:rsidRDefault="00505484" w:rsidP="009B38D9">
      <w:pPr>
        <w:spacing w:line="360" w:lineRule="auto"/>
        <w:jc w:val="center"/>
        <w:rPr>
          <w:rFonts w:cs="AdiHaus"/>
          <w:sz w:val="22"/>
          <w:szCs w:val="22"/>
          <w:lang w:val="de-DE"/>
        </w:rPr>
      </w:pPr>
      <w:r w:rsidRPr="00C95060">
        <w:rPr>
          <w:rFonts w:cs="AdiHaus"/>
          <w:sz w:val="22"/>
          <w:szCs w:val="22"/>
          <w:lang w:val="de-DE"/>
        </w:rPr>
        <w:t>###</w:t>
      </w:r>
    </w:p>
    <w:p w:rsidR="00505484" w:rsidRPr="00C95060" w:rsidRDefault="00505484" w:rsidP="009B38D9">
      <w:pPr>
        <w:spacing w:line="360" w:lineRule="auto"/>
        <w:jc w:val="center"/>
        <w:rPr>
          <w:rFonts w:cs="AdiHaus"/>
          <w:b/>
          <w:sz w:val="22"/>
          <w:szCs w:val="22"/>
          <w:lang w:val="de-DE"/>
        </w:rPr>
      </w:pPr>
    </w:p>
    <w:p w:rsidR="00505484" w:rsidRPr="00505484" w:rsidRDefault="00F933F4" w:rsidP="00505484">
      <w:pPr>
        <w:spacing w:line="276" w:lineRule="auto"/>
        <w:rPr>
          <w:rFonts w:cs="AdiHaus"/>
          <w:b/>
          <w:sz w:val="22"/>
          <w:szCs w:val="22"/>
          <w:lang w:val="de-DE"/>
        </w:rPr>
      </w:pPr>
      <w:r>
        <w:rPr>
          <w:rFonts w:cs="AdiHaus"/>
          <w:b/>
          <w:sz w:val="22"/>
          <w:szCs w:val="22"/>
          <w:lang w:val="de-DE"/>
        </w:rPr>
        <w:t xml:space="preserve">Media </w:t>
      </w:r>
      <w:proofErr w:type="spellStart"/>
      <w:r>
        <w:rPr>
          <w:rFonts w:cs="AdiHaus"/>
          <w:b/>
          <w:sz w:val="22"/>
          <w:szCs w:val="22"/>
          <w:lang w:val="de-DE"/>
        </w:rPr>
        <w:t>contact</w:t>
      </w:r>
      <w:proofErr w:type="spellEnd"/>
      <w:r>
        <w:rPr>
          <w:rFonts w:cs="AdiHaus"/>
          <w:b/>
          <w:sz w:val="22"/>
          <w:szCs w:val="22"/>
          <w:lang w:val="de-DE"/>
        </w:rPr>
        <w:t xml:space="preserve">: </w:t>
      </w:r>
    </w:p>
    <w:p w:rsidR="00505484" w:rsidRPr="00505484" w:rsidRDefault="00505484" w:rsidP="00505484">
      <w:pPr>
        <w:spacing w:line="276" w:lineRule="auto"/>
        <w:rPr>
          <w:rFonts w:cs="AdiHaus"/>
          <w:sz w:val="22"/>
          <w:szCs w:val="22"/>
          <w:lang w:val="de-DE"/>
        </w:rPr>
      </w:pPr>
      <w:r w:rsidRPr="00505484">
        <w:rPr>
          <w:rFonts w:cs="AdiHaus"/>
          <w:sz w:val="22"/>
          <w:szCs w:val="22"/>
          <w:lang w:val="de-DE"/>
        </w:rPr>
        <w:t>Katja Schreiber</w:t>
      </w:r>
    </w:p>
    <w:p w:rsidR="00505484" w:rsidRDefault="00505484" w:rsidP="00505484">
      <w:pPr>
        <w:spacing w:line="276" w:lineRule="auto"/>
        <w:rPr>
          <w:rFonts w:cs="AdiHaus"/>
          <w:sz w:val="22"/>
          <w:szCs w:val="22"/>
          <w:lang w:val="de-DE"/>
        </w:rPr>
      </w:pPr>
      <w:r w:rsidRPr="00505484">
        <w:rPr>
          <w:rFonts w:cs="AdiHaus"/>
          <w:sz w:val="22"/>
          <w:szCs w:val="22"/>
          <w:lang w:val="de-DE"/>
        </w:rPr>
        <w:t>adidas PR</w:t>
      </w:r>
    </w:p>
    <w:p w:rsidR="00505484" w:rsidRDefault="00505484" w:rsidP="00505484">
      <w:pPr>
        <w:spacing w:line="276" w:lineRule="auto"/>
        <w:rPr>
          <w:rFonts w:cs="AdiHaus"/>
          <w:sz w:val="22"/>
          <w:szCs w:val="22"/>
          <w:lang w:val="de-DE"/>
        </w:rPr>
      </w:pPr>
      <w:r>
        <w:rPr>
          <w:rFonts w:cs="AdiHaus"/>
          <w:sz w:val="22"/>
          <w:szCs w:val="22"/>
          <w:lang w:val="de-DE"/>
        </w:rPr>
        <w:t>(971) 234-2213 (o)</w:t>
      </w:r>
    </w:p>
    <w:p w:rsidR="00505484" w:rsidRPr="00505484" w:rsidRDefault="00505484" w:rsidP="00505484">
      <w:pPr>
        <w:spacing w:line="276" w:lineRule="auto"/>
        <w:rPr>
          <w:rFonts w:cs="AdiHaus"/>
          <w:sz w:val="22"/>
          <w:szCs w:val="22"/>
          <w:lang w:val="de-DE"/>
        </w:rPr>
      </w:pPr>
      <w:r>
        <w:rPr>
          <w:rFonts w:cs="AdiHaus"/>
          <w:sz w:val="22"/>
          <w:szCs w:val="22"/>
          <w:lang w:val="de-DE"/>
        </w:rPr>
        <w:t>(503) 314-1041 (m)</w:t>
      </w:r>
    </w:p>
    <w:sectPr w:rsidR="00505484" w:rsidRPr="00505484">
      <w:headerReference w:type="default" r:id="rId11"/>
      <w:headerReference w:type="first" r:id="rId12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99" w:rsidRDefault="00FE2599">
      <w:r>
        <w:separator/>
      </w:r>
    </w:p>
  </w:endnote>
  <w:endnote w:type="continuationSeparator" w:id="0">
    <w:p w:rsidR="00FE2599" w:rsidRDefault="00FE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99" w:rsidRDefault="00FE2599">
      <w:r>
        <w:separator/>
      </w:r>
    </w:p>
  </w:footnote>
  <w:footnote w:type="continuationSeparator" w:id="0">
    <w:p w:rsidR="00FE2599" w:rsidRDefault="00FE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016914" w:rsidRPr="00C47185">
      <w:trPr>
        <w:trHeight w:val="510"/>
      </w:trPr>
      <w:tc>
        <w:tcPr>
          <w:tcW w:w="2230" w:type="pct"/>
        </w:tcPr>
        <w:p w:rsidR="00016914" w:rsidRDefault="00850E6D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5077FC96" wp14:editId="2621F5EA">
                <wp:extent cx="236220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016914" w:rsidRPr="00C47185" w:rsidRDefault="00016914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r w:rsidRPr="00C47185">
            <w:rPr>
              <w:b/>
              <w:sz w:val="40"/>
              <w:lang w:val="es-ES"/>
            </w:rPr>
            <w:fldChar w:fldCharType="begin"/>
          </w:r>
          <w:r w:rsidRPr="00C47185">
            <w:rPr>
              <w:b/>
              <w:sz w:val="40"/>
              <w:lang w:val="es-ES"/>
            </w:rPr>
            <w:instrText xml:space="preserve"> REF  Title </w:instrText>
          </w:r>
          <w:r>
            <w:rPr>
              <w:b/>
              <w:sz w:val="40"/>
              <w:lang w:val="es-ES"/>
            </w:rPr>
            <w:instrText xml:space="preserve"> \* MERGEFORMAT </w:instrText>
          </w:r>
          <w:r w:rsidRPr="00C47185">
            <w:rPr>
              <w:b/>
              <w:sz w:val="40"/>
              <w:lang w:val="es-ES"/>
            </w:rPr>
            <w:fldChar w:fldCharType="separate"/>
          </w:r>
          <w:proofErr w:type="spellStart"/>
          <w:r w:rsidR="00760D3B">
            <w:rPr>
              <w:b/>
              <w:sz w:val="40"/>
              <w:lang w:val="es-ES"/>
            </w:rPr>
            <w:t>Informa</w:t>
          </w:r>
          <w:r w:rsidRPr="00C47185">
            <w:rPr>
              <w:b/>
              <w:sz w:val="40"/>
              <w:lang w:val="es-ES"/>
            </w:rPr>
            <w:fldChar w:fldCharType="end"/>
          </w:r>
          <w:r w:rsidRPr="00C47185"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:rsidR="00016914" w:rsidRDefault="00016914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016914">
      <w:tc>
        <w:tcPr>
          <w:tcW w:w="6083" w:type="dxa"/>
        </w:tcPr>
        <w:p w:rsidR="00016914" w:rsidRDefault="00850E6D">
          <w:pPr>
            <w:pStyle w:val="Header"/>
            <w:rPr>
              <w:b/>
              <w:noProof/>
            </w:rPr>
          </w:pPr>
          <w:r>
            <w:rPr>
              <w:b/>
              <w:noProof/>
              <w:snapToGrid/>
              <w:lang w:eastAsia="en-US"/>
            </w:rPr>
            <w:drawing>
              <wp:inline distT="0" distB="0" distL="0" distR="0" wp14:anchorId="7FE3C94D" wp14:editId="60AE911F">
                <wp:extent cx="236220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016914" w:rsidRDefault="00016914">
          <w:pPr>
            <w:pStyle w:val="Header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proofErr w:type="spellStart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:rsidR="00016914" w:rsidRDefault="00016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112D3"/>
    <w:rsid w:val="000140C5"/>
    <w:rsid w:val="00016914"/>
    <w:rsid w:val="000370FD"/>
    <w:rsid w:val="000468DF"/>
    <w:rsid w:val="00060ED8"/>
    <w:rsid w:val="000708BC"/>
    <w:rsid w:val="00081755"/>
    <w:rsid w:val="0008685C"/>
    <w:rsid w:val="000A2DCB"/>
    <w:rsid w:val="000D4D31"/>
    <w:rsid w:val="000E5449"/>
    <w:rsid w:val="00114537"/>
    <w:rsid w:val="001157E9"/>
    <w:rsid w:val="001443FA"/>
    <w:rsid w:val="001C7511"/>
    <w:rsid w:val="001E5271"/>
    <w:rsid w:val="00202E67"/>
    <w:rsid w:val="00205BFF"/>
    <w:rsid w:val="00222B8E"/>
    <w:rsid w:val="00232200"/>
    <w:rsid w:val="0024117B"/>
    <w:rsid w:val="00271EB1"/>
    <w:rsid w:val="00282D35"/>
    <w:rsid w:val="002A205E"/>
    <w:rsid w:val="002A44AF"/>
    <w:rsid w:val="002B5E48"/>
    <w:rsid w:val="002E17CC"/>
    <w:rsid w:val="003041EC"/>
    <w:rsid w:val="003504CF"/>
    <w:rsid w:val="00364923"/>
    <w:rsid w:val="0038182F"/>
    <w:rsid w:val="00410B92"/>
    <w:rsid w:val="004304BC"/>
    <w:rsid w:val="0044139A"/>
    <w:rsid w:val="00452E18"/>
    <w:rsid w:val="00455723"/>
    <w:rsid w:val="004B550C"/>
    <w:rsid w:val="004D6988"/>
    <w:rsid w:val="004E2A8C"/>
    <w:rsid w:val="00505484"/>
    <w:rsid w:val="005B300D"/>
    <w:rsid w:val="005D6271"/>
    <w:rsid w:val="005E00A0"/>
    <w:rsid w:val="005E6DF2"/>
    <w:rsid w:val="005F0A72"/>
    <w:rsid w:val="005F4675"/>
    <w:rsid w:val="005F604E"/>
    <w:rsid w:val="00600BD0"/>
    <w:rsid w:val="0060699C"/>
    <w:rsid w:val="00650F3F"/>
    <w:rsid w:val="00652ECA"/>
    <w:rsid w:val="0066552C"/>
    <w:rsid w:val="006877BE"/>
    <w:rsid w:val="006976A2"/>
    <w:rsid w:val="006D303A"/>
    <w:rsid w:val="006E4BA3"/>
    <w:rsid w:val="006F0840"/>
    <w:rsid w:val="006F4D65"/>
    <w:rsid w:val="00736113"/>
    <w:rsid w:val="00760D3B"/>
    <w:rsid w:val="00775A93"/>
    <w:rsid w:val="00790397"/>
    <w:rsid w:val="007C2059"/>
    <w:rsid w:val="007F575F"/>
    <w:rsid w:val="008278E5"/>
    <w:rsid w:val="00841790"/>
    <w:rsid w:val="00850E6D"/>
    <w:rsid w:val="0086220A"/>
    <w:rsid w:val="00886F88"/>
    <w:rsid w:val="008C0C44"/>
    <w:rsid w:val="008D6D6F"/>
    <w:rsid w:val="008F3016"/>
    <w:rsid w:val="00912463"/>
    <w:rsid w:val="00922366"/>
    <w:rsid w:val="00944C1C"/>
    <w:rsid w:val="00994622"/>
    <w:rsid w:val="009A2945"/>
    <w:rsid w:val="009B0A9B"/>
    <w:rsid w:val="009B2C13"/>
    <w:rsid w:val="009B38D9"/>
    <w:rsid w:val="009B5166"/>
    <w:rsid w:val="009E723F"/>
    <w:rsid w:val="00A06F87"/>
    <w:rsid w:val="00A27DC3"/>
    <w:rsid w:val="00A314BF"/>
    <w:rsid w:val="00A45282"/>
    <w:rsid w:val="00A55255"/>
    <w:rsid w:val="00A5599F"/>
    <w:rsid w:val="00A61887"/>
    <w:rsid w:val="00A801CC"/>
    <w:rsid w:val="00AD4481"/>
    <w:rsid w:val="00AF34D6"/>
    <w:rsid w:val="00B63B91"/>
    <w:rsid w:val="00B86FE8"/>
    <w:rsid w:val="00BA3C9F"/>
    <w:rsid w:val="00BB0CD1"/>
    <w:rsid w:val="00BB15C6"/>
    <w:rsid w:val="00BE0FCE"/>
    <w:rsid w:val="00C126FD"/>
    <w:rsid w:val="00C2403B"/>
    <w:rsid w:val="00C34FB1"/>
    <w:rsid w:val="00C47185"/>
    <w:rsid w:val="00C60C91"/>
    <w:rsid w:val="00C95060"/>
    <w:rsid w:val="00CA5EF0"/>
    <w:rsid w:val="00CC1473"/>
    <w:rsid w:val="00CC4109"/>
    <w:rsid w:val="00CD3D1D"/>
    <w:rsid w:val="00D31B7E"/>
    <w:rsid w:val="00D35CF3"/>
    <w:rsid w:val="00D4147D"/>
    <w:rsid w:val="00D560A0"/>
    <w:rsid w:val="00D67D03"/>
    <w:rsid w:val="00D861DA"/>
    <w:rsid w:val="00DB5466"/>
    <w:rsid w:val="00DC6180"/>
    <w:rsid w:val="00DE1487"/>
    <w:rsid w:val="00DE6C32"/>
    <w:rsid w:val="00E0671F"/>
    <w:rsid w:val="00E11878"/>
    <w:rsid w:val="00E2180B"/>
    <w:rsid w:val="00E21900"/>
    <w:rsid w:val="00E239AE"/>
    <w:rsid w:val="00E30D8D"/>
    <w:rsid w:val="00E374C1"/>
    <w:rsid w:val="00E40967"/>
    <w:rsid w:val="00E80736"/>
    <w:rsid w:val="00ED0364"/>
    <w:rsid w:val="00EE21CF"/>
    <w:rsid w:val="00F11783"/>
    <w:rsid w:val="00F21D84"/>
    <w:rsid w:val="00F337E1"/>
    <w:rsid w:val="00F57EF9"/>
    <w:rsid w:val="00F933F4"/>
    <w:rsid w:val="00FB1577"/>
    <w:rsid w:val="00FD309A"/>
    <w:rsid w:val="00FD3BE6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rsid w:val="008278E5"/>
    <w:rPr>
      <w:rFonts w:eastAsia="Times New Roman"/>
      <w:snapToGrid/>
      <w:sz w:val="20"/>
      <w:szCs w:val="20"/>
      <w:lang w:val="de-DE" w:eastAsia="de-DE"/>
    </w:rPr>
  </w:style>
  <w:style w:type="character" w:styleId="FollowedHyperlink">
    <w:name w:val="FollowedHyperlink"/>
    <w:basedOn w:val="DefaultParagraphFont"/>
    <w:rsid w:val="00EE21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F21D84"/>
    <w:rPr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imes New Roman" w:hAnsi="Times New Roman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odyText">
    <w:name w:val="Body Text"/>
    <w:basedOn w:val="Normal"/>
    <w:pPr>
      <w:suppressAutoHyphens/>
      <w:spacing w:after="120"/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CommentText">
    <w:name w:val="annotation text"/>
    <w:basedOn w:val="Normal"/>
    <w:link w:val="CommentTextChar"/>
    <w:rsid w:val="00F21D84"/>
    <w:rPr>
      <w:sz w:val="20"/>
      <w:szCs w:val="20"/>
    </w:rPr>
  </w:style>
  <w:style w:type="character" w:customStyle="1" w:styleId="CommentTextChar">
    <w:name w:val="Comment Text Char"/>
    <w:link w:val="CommentText"/>
    <w:rsid w:val="00F21D84"/>
    <w:rPr>
      <w:rFonts w:ascii="AdiHaus" w:hAnsi="AdiHaus"/>
      <w:snapToGrid w:val="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21D84"/>
    <w:rPr>
      <w:b/>
      <w:bCs/>
    </w:rPr>
  </w:style>
  <w:style w:type="character" w:customStyle="1" w:styleId="CommentSubjectChar">
    <w:name w:val="Comment Subject Char"/>
    <w:link w:val="CommentSubject"/>
    <w:rsid w:val="00F21D84"/>
    <w:rPr>
      <w:rFonts w:ascii="AdiHaus" w:hAnsi="AdiHaus"/>
      <w:b/>
      <w:bCs/>
      <w:snapToGrid w:val="0"/>
      <w:lang w:val="en-US" w:eastAsia="zh-CN"/>
    </w:rPr>
  </w:style>
  <w:style w:type="paragraph" w:styleId="BalloonText">
    <w:name w:val="Balloon Text"/>
    <w:basedOn w:val="Normal"/>
    <w:link w:val="BalloonTextChar"/>
    <w:rsid w:val="00F21D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PlainText">
    <w:name w:val="Plain Text"/>
    <w:basedOn w:val="Normal"/>
    <w:rsid w:val="008278E5"/>
    <w:rPr>
      <w:rFonts w:eastAsia="Times New Roman"/>
      <w:snapToGrid/>
      <w:sz w:val="20"/>
      <w:szCs w:val="20"/>
      <w:lang w:val="de-DE" w:eastAsia="de-DE"/>
    </w:rPr>
  </w:style>
  <w:style w:type="character" w:styleId="FollowedHyperlink">
    <w:name w:val="FollowedHyperlink"/>
    <w:basedOn w:val="DefaultParagraphFont"/>
    <w:rsid w:val="00EE2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us/boston-marathon/_/N-1z13ul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a.org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idas.com/us/boston-marathon/_/N-1z13u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“Boston stands as one” – Boston Athletic Association, The One Fund Boston, Inc. and adidas join forces in support efforts</vt:lpstr>
    </vt:vector>
  </TitlesOfParts>
  <Company>adidas AG</Company>
  <LinksUpToDate>false</LinksUpToDate>
  <CharactersWithSpaces>1493</CharactersWithSpaces>
  <SharedDoc>false</SharedDoc>
  <HLinks>
    <vt:vector size="6" baseType="variant"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http://www.news.adidas.com/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launches "Boston stands as one" t-shirt to support Boston effort</dc:title>
  <dc:creator>adidas America</dc:creator>
  <cp:lastModifiedBy>Schreiber, Katja</cp:lastModifiedBy>
  <cp:revision>23</cp:revision>
  <cp:lastPrinted>2013-04-17T23:24:00Z</cp:lastPrinted>
  <dcterms:created xsi:type="dcterms:W3CDTF">2013-04-17T16:32:00Z</dcterms:created>
  <dcterms:modified xsi:type="dcterms:W3CDTF">2013-04-18T14:39:00Z</dcterms:modified>
</cp:coreProperties>
</file>